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DE68A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86" w:afterAutospacing="0"/>
        <w:ind w:left="0" w:right="0" w:firstLine="0"/>
        <w:jc w:val="center"/>
        <w:rPr>
          <w:rFonts w:hint="eastAsia" w:ascii="黑体" w:hAnsi="黑体" w:eastAsia="黑体" w:cs="黑体"/>
          <w:sz w:val="30"/>
          <w:szCs w:val="30"/>
        </w:rPr>
      </w:pPr>
      <w:r>
        <w:rPr>
          <w:rFonts w:hint="eastAsia" w:ascii="黑体" w:hAnsi="黑体" w:eastAsia="黑体" w:cs="黑体"/>
          <w:sz w:val="30"/>
          <w:szCs w:val="30"/>
        </w:rPr>
        <w:t>关于举办2025年度工程设计（建筑设计与数字设计应用）高级</w:t>
      </w:r>
      <w:r>
        <w:rPr>
          <w:rFonts w:hint="eastAsia" w:ascii="黑体" w:hAnsi="黑体" w:eastAsia="黑体" w:cs="黑体"/>
          <w:sz w:val="30"/>
          <w:szCs w:val="30"/>
          <w:lang w:val="en-US" w:eastAsia="zh-CN"/>
        </w:rPr>
        <w:t>人才专题</w:t>
      </w:r>
      <w:r>
        <w:rPr>
          <w:rFonts w:hint="eastAsia" w:ascii="黑体" w:hAnsi="黑体" w:eastAsia="黑体" w:cs="黑体"/>
          <w:sz w:val="30"/>
          <w:szCs w:val="30"/>
        </w:rPr>
        <w:t>研修培训班的通知</w:t>
      </w:r>
    </w:p>
    <w:p w14:paraId="21EEC21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86" w:afterAutospacing="0" w:line="360" w:lineRule="auto"/>
        <w:ind w:left="0" w:right="0" w:firstLine="0"/>
      </w:pPr>
      <w:r>
        <w:t>各有关单位：</w:t>
      </w:r>
    </w:p>
    <w:p w14:paraId="5042D959">
      <w:pPr>
        <w:spacing w:line="360" w:lineRule="auto"/>
        <w:ind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根据《上海市人力资源和社会保障局关于上海市专业技术人才知识更新工程 2025 年度高级研修项目（急需紧缺人才培养项目） 计划的通知》（沪人社专〔2025〕161号），为践行人才是第一资源的理念，聚焦上海市住建系统高级人才职称评审，努力在工程设计领域培育更多的高级人才，不断提高我国工程设计整体水平，为社会提供高质量建筑产品。依托行业协会的人才优势与专业优势，确立“专业化、系统化、品牌化”的办学理念，通过邀请全国勘察设计大师、大学教授、行业领军人物内涵丰富的主题报告、学术交流等，从专业理论与工程实践的结合以及现代工程设计技术探索，开拓视野，促进能力提升。“2025年度工程设计（建筑设计与数字设计应用）列入本年度高级研修项目，由上海市勘察设计行业协会承办。现将有关事项通知如下：</w:t>
      </w:r>
    </w:p>
    <w:p w14:paraId="26F1F5D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62"/>
      </w:pPr>
    </w:p>
    <w:p w14:paraId="39A47F7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Style w:val="5"/>
        </w:rPr>
        <w:t>一、研修对象</w:t>
      </w:r>
    </w:p>
    <w:p w14:paraId="62D015CE">
      <w:pPr>
        <w:pStyle w:val="6"/>
        <w:ind w:right="84" w:rightChars="40" w:firstLine="540" w:firstLineChars="225"/>
        <w:jc w:val="left"/>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行业优秀勘察设计师、业务骨干人员以及行业内中、高级技术职称的人员，约100人。</w:t>
      </w:r>
    </w:p>
    <w:p w14:paraId="4750A21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p w14:paraId="540CE3E6">
      <w:pPr>
        <w:pStyle w:val="2"/>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Style w:val="5"/>
        </w:rPr>
      </w:pPr>
      <w:r>
        <w:rPr>
          <w:rStyle w:val="5"/>
        </w:rPr>
        <w:t>研修内容（课程安排）</w:t>
      </w:r>
    </w:p>
    <w:p w14:paraId="42F68EF3">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rPr>
          <w:rStyle w:val="5"/>
        </w:rPr>
      </w:pPr>
    </w:p>
    <w:tbl>
      <w:tblPr>
        <w:tblStyle w:val="3"/>
        <w:tblW w:w="9178"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8"/>
        <w:gridCol w:w="2126"/>
        <w:gridCol w:w="4443"/>
        <w:gridCol w:w="1191"/>
      </w:tblGrid>
      <w:tr w14:paraId="2C123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418" w:type="dxa"/>
            <w:vAlign w:val="center"/>
          </w:tcPr>
          <w:p w14:paraId="67A5035B">
            <w:pPr>
              <w:jc w:val="center"/>
              <w:rPr>
                <w:rFonts w:hint="eastAsia" w:cs="宋体" w:asciiTheme="minorEastAsia" w:hAnsiTheme="minorEastAsia" w:eastAsiaTheme="minorEastAsia"/>
                <w:b/>
                <w:bCs/>
                <w:sz w:val="24"/>
                <w:szCs w:val="24"/>
              </w:rPr>
            </w:pPr>
            <w:bookmarkStart w:id="0" w:name="_Hlk173922822"/>
            <w:r>
              <w:rPr>
                <w:rFonts w:hint="eastAsia" w:cs="宋体" w:asciiTheme="minorEastAsia" w:hAnsiTheme="minorEastAsia" w:eastAsiaTheme="minorEastAsia"/>
                <w:b/>
                <w:bCs/>
                <w:sz w:val="24"/>
                <w:szCs w:val="24"/>
              </w:rPr>
              <w:t>日期</w:t>
            </w:r>
          </w:p>
        </w:tc>
        <w:tc>
          <w:tcPr>
            <w:tcW w:w="2126" w:type="dxa"/>
            <w:vAlign w:val="center"/>
          </w:tcPr>
          <w:p w14:paraId="4D5F1C37">
            <w:pPr>
              <w:jc w:val="center"/>
              <w:rPr>
                <w:rFonts w:hint="eastAsia" w:asciiTheme="minorEastAsia" w:hAnsiTheme="minorEastAsia" w:eastAsiaTheme="minorEastAsia"/>
                <w:b/>
                <w:bCs/>
                <w:sz w:val="24"/>
                <w:szCs w:val="24"/>
              </w:rPr>
            </w:pPr>
            <w:r>
              <w:rPr>
                <w:rFonts w:hint="eastAsia" w:cs="宋体" w:asciiTheme="minorEastAsia" w:hAnsiTheme="minorEastAsia" w:eastAsiaTheme="minorEastAsia"/>
                <w:b/>
                <w:bCs/>
                <w:sz w:val="24"/>
                <w:szCs w:val="24"/>
              </w:rPr>
              <w:t>时间</w:t>
            </w:r>
          </w:p>
        </w:tc>
        <w:tc>
          <w:tcPr>
            <w:tcW w:w="4443" w:type="dxa"/>
            <w:vAlign w:val="center"/>
          </w:tcPr>
          <w:p w14:paraId="5DC0B511">
            <w:pPr>
              <w:jc w:val="center"/>
              <w:rPr>
                <w:rFonts w:hint="eastAsia" w:asciiTheme="minorEastAsia" w:hAnsiTheme="minorEastAsia" w:eastAsiaTheme="minorEastAsia"/>
                <w:b/>
                <w:bCs/>
                <w:sz w:val="24"/>
                <w:szCs w:val="24"/>
              </w:rPr>
            </w:pPr>
            <w:r>
              <w:rPr>
                <w:rFonts w:hint="eastAsia" w:cs="宋体" w:asciiTheme="minorEastAsia" w:hAnsiTheme="minorEastAsia" w:eastAsiaTheme="minorEastAsia"/>
                <w:b/>
                <w:bCs/>
                <w:sz w:val="24"/>
                <w:szCs w:val="24"/>
              </w:rPr>
              <w:t>培训内容</w:t>
            </w:r>
          </w:p>
        </w:tc>
        <w:tc>
          <w:tcPr>
            <w:tcW w:w="1191" w:type="dxa"/>
            <w:vAlign w:val="center"/>
          </w:tcPr>
          <w:p w14:paraId="3B4EED78">
            <w:pPr>
              <w:jc w:val="center"/>
              <w:rPr>
                <w:rFonts w:hint="eastAsia" w:asciiTheme="minorEastAsia" w:hAnsiTheme="minorEastAsia" w:eastAsiaTheme="minorEastAsia"/>
                <w:b/>
                <w:bCs/>
                <w:sz w:val="24"/>
                <w:szCs w:val="24"/>
              </w:rPr>
            </w:pPr>
            <w:r>
              <w:rPr>
                <w:rFonts w:hint="eastAsia" w:cs="宋体" w:asciiTheme="minorEastAsia" w:hAnsiTheme="minorEastAsia" w:eastAsiaTheme="minorEastAsia"/>
                <w:b/>
                <w:bCs/>
                <w:sz w:val="24"/>
                <w:szCs w:val="24"/>
              </w:rPr>
              <w:t>讲课人</w:t>
            </w:r>
          </w:p>
        </w:tc>
      </w:tr>
      <w:tr w14:paraId="258BD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trPr>
        <w:tc>
          <w:tcPr>
            <w:tcW w:w="1418" w:type="dxa"/>
            <w:vMerge w:val="restart"/>
            <w:vAlign w:val="center"/>
          </w:tcPr>
          <w:p w14:paraId="6B3DA1A3">
            <w:pPr>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sz w:val="24"/>
                <w:szCs w:val="24"/>
              </w:rPr>
              <w:t>10月21日</w:t>
            </w:r>
          </w:p>
          <w:p w14:paraId="6E332A44">
            <w:pPr>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sz w:val="24"/>
                <w:szCs w:val="24"/>
              </w:rPr>
              <w:t>星期二</w:t>
            </w:r>
          </w:p>
        </w:tc>
        <w:tc>
          <w:tcPr>
            <w:tcW w:w="2126" w:type="dxa"/>
            <w:vAlign w:val="center"/>
          </w:tcPr>
          <w:p w14:paraId="057B8950">
            <w:pPr>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sz w:val="24"/>
                <w:szCs w:val="24"/>
              </w:rPr>
              <w:t>8:45～</w:t>
            </w:r>
            <w:r>
              <w:rPr>
                <w:rFonts w:cs="宋体" w:asciiTheme="minorEastAsia" w:hAnsiTheme="minorEastAsia" w:eastAsiaTheme="minorEastAsia"/>
                <w:sz w:val="24"/>
                <w:szCs w:val="24"/>
              </w:rPr>
              <w:t>1</w:t>
            </w:r>
            <w:r>
              <w:rPr>
                <w:rFonts w:hint="eastAsia" w:cs="宋体" w:asciiTheme="minorEastAsia" w:hAnsiTheme="minorEastAsia" w:eastAsiaTheme="minorEastAsia"/>
                <w:sz w:val="24"/>
                <w:szCs w:val="24"/>
              </w:rPr>
              <w:t>0:15</w:t>
            </w:r>
          </w:p>
        </w:tc>
        <w:tc>
          <w:tcPr>
            <w:tcW w:w="4443" w:type="dxa"/>
            <w:vAlign w:val="center"/>
          </w:tcPr>
          <w:p w14:paraId="5F2C5B58">
            <w:pPr>
              <w:ind w:hanging="2"/>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sz w:val="24"/>
                <w:szCs w:val="24"/>
              </w:rPr>
              <w:t xml:space="preserve">数字化技术与建筑结构设计 </w:t>
            </w:r>
          </w:p>
          <w:p w14:paraId="76F7DEAA">
            <w:pPr>
              <w:ind w:hanging="2"/>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sz w:val="24"/>
                <w:szCs w:val="24"/>
              </w:rPr>
              <w:t>临地铁建筑结构振震双控技术的研究与思考</w:t>
            </w:r>
          </w:p>
        </w:tc>
        <w:tc>
          <w:tcPr>
            <w:tcW w:w="1191" w:type="dxa"/>
            <w:vAlign w:val="center"/>
          </w:tcPr>
          <w:p w14:paraId="07FCE9B1">
            <w:pPr>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sz w:val="24"/>
                <w:szCs w:val="24"/>
              </w:rPr>
              <w:t>丁洁民</w:t>
            </w:r>
          </w:p>
        </w:tc>
      </w:tr>
      <w:tr w14:paraId="1ED55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trPr>
        <w:tc>
          <w:tcPr>
            <w:tcW w:w="1418" w:type="dxa"/>
            <w:vMerge w:val="continue"/>
            <w:vAlign w:val="center"/>
          </w:tcPr>
          <w:p w14:paraId="78A7B195">
            <w:pPr>
              <w:jc w:val="center"/>
              <w:rPr>
                <w:rFonts w:hint="eastAsia" w:cs="宋体" w:asciiTheme="minorEastAsia" w:hAnsiTheme="minorEastAsia" w:eastAsiaTheme="minorEastAsia"/>
                <w:sz w:val="24"/>
                <w:szCs w:val="24"/>
              </w:rPr>
            </w:pPr>
          </w:p>
        </w:tc>
        <w:tc>
          <w:tcPr>
            <w:tcW w:w="2126" w:type="dxa"/>
            <w:vAlign w:val="center"/>
          </w:tcPr>
          <w:p w14:paraId="53A813F0">
            <w:pPr>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sz w:val="24"/>
                <w:szCs w:val="24"/>
              </w:rPr>
              <w:t>10:30～</w:t>
            </w:r>
            <w:r>
              <w:rPr>
                <w:rFonts w:cs="宋体" w:asciiTheme="minorEastAsia" w:hAnsiTheme="minorEastAsia" w:eastAsiaTheme="minorEastAsia"/>
                <w:sz w:val="24"/>
                <w:szCs w:val="24"/>
              </w:rPr>
              <w:t>1</w:t>
            </w:r>
            <w:r>
              <w:rPr>
                <w:rFonts w:hint="eastAsia" w:cs="宋体" w:asciiTheme="minorEastAsia" w:hAnsiTheme="minorEastAsia" w:eastAsiaTheme="minorEastAsia"/>
                <w:sz w:val="24"/>
                <w:szCs w:val="24"/>
              </w:rPr>
              <w:t>2:00</w:t>
            </w:r>
          </w:p>
        </w:tc>
        <w:tc>
          <w:tcPr>
            <w:tcW w:w="4443" w:type="dxa"/>
            <w:vAlign w:val="center"/>
          </w:tcPr>
          <w:p w14:paraId="14E2BD98">
            <w:pPr>
              <w:ind w:hanging="2"/>
              <w:jc w:val="center"/>
              <w:rPr>
                <w:rFonts w:hint="eastAsia" w:cs="宋体" w:asciiTheme="minorEastAsia" w:hAnsiTheme="minorEastAsia" w:eastAsiaTheme="minorEastAsia"/>
                <w:sz w:val="24"/>
                <w:szCs w:val="24"/>
              </w:rPr>
            </w:pPr>
            <w:bookmarkStart w:id="1" w:name="OLE_LINK1"/>
            <w:r>
              <w:rPr>
                <w:rFonts w:hint="eastAsia" w:cs="宋体" w:asciiTheme="minorEastAsia" w:hAnsiTheme="minorEastAsia" w:eastAsiaTheme="minorEastAsia"/>
                <w:sz w:val="24"/>
                <w:szCs w:val="24"/>
              </w:rPr>
              <w:t>城市更新中的历史建筑保护与利用</w:t>
            </w:r>
            <w:bookmarkEnd w:id="1"/>
          </w:p>
        </w:tc>
        <w:tc>
          <w:tcPr>
            <w:tcW w:w="1191" w:type="dxa"/>
            <w:vAlign w:val="center"/>
          </w:tcPr>
          <w:p w14:paraId="08FA7608">
            <w:pPr>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sz w:val="24"/>
                <w:szCs w:val="24"/>
              </w:rPr>
              <w:t>曹永康</w:t>
            </w:r>
          </w:p>
        </w:tc>
      </w:tr>
      <w:tr w14:paraId="02002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trPr>
        <w:tc>
          <w:tcPr>
            <w:tcW w:w="1418" w:type="dxa"/>
            <w:vMerge w:val="continue"/>
            <w:vAlign w:val="center"/>
          </w:tcPr>
          <w:p w14:paraId="332EA3E8">
            <w:pPr>
              <w:jc w:val="center"/>
              <w:rPr>
                <w:rFonts w:hint="eastAsia" w:cs="宋体" w:asciiTheme="minorEastAsia" w:hAnsiTheme="minorEastAsia" w:eastAsiaTheme="minorEastAsia"/>
                <w:sz w:val="24"/>
                <w:szCs w:val="24"/>
              </w:rPr>
            </w:pPr>
          </w:p>
        </w:tc>
        <w:tc>
          <w:tcPr>
            <w:tcW w:w="2126" w:type="dxa"/>
            <w:vAlign w:val="center"/>
          </w:tcPr>
          <w:p w14:paraId="36A7719A">
            <w:pPr>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sz w:val="24"/>
                <w:szCs w:val="24"/>
              </w:rPr>
              <w:t>13:00～</w:t>
            </w:r>
            <w:r>
              <w:rPr>
                <w:rFonts w:cs="宋体" w:asciiTheme="minorEastAsia" w:hAnsiTheme="minorEastAsia" w:eastAsiaTheme="minorEastAsia"/>
                <w:sz w:val="24"/>
                <w:szCs w:val="24"/>
              </w:rPr>
              <w:t>1</w:t>
            </w:r>
            <w:r>
              <w:rPr>
                <w:rFonts w:hint="eastAsia" w:cs="宋体" w:asciiTheme="minorEastAsia" w:hAnsiTheme="minorEastAsia" w:eastAsiaTheme="minorEastAsia"/>
                <w:sz w:val="24"/>
                <w:szCs w:val="24"/>
              </w:rPr>
              <w:t>4:30</w:t>
            </w:r>
          </w:p>
        </w:tc>
        <w:tc>
          <w:tcPr>
            <w:tcW w:w="4443" w:type="dxa"/>
            <w:vAlign w:val="center"/>
          </w:tcPr>
          <w:p w14:paraId="006E1715">
            <w:pPr>
              <w:ind w:hanging="2"/>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sz w:val="24"/>
                <w:szCs w:val="24"/>
              </w:rPr>
              <w:t>城市更新与活力再造暨优秀案例解析</w:t>
            </w:r>
          </w:p>
        </w:tc>
        <w:tc>
          <w:tcPr>
            <w:tcW w:w="1191" w:type="dxa"/>
            <w:vAlign w:val="center"/>
          </w:tcPr>
          <w:p w14:paraId="6B400778">
            <w:pPr>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sz w:val="24"/>
                <w:szCs w:val="24"/>
              </w:rPr>
              <w:t>沈朝晖</w:t>
            </w:r>
          </w:p>
        </w:tc>
      </w:tr>
      <w:tr w14:paraId="2DECCE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1418" w:type="dxa"/>
            <w:vMerge w:val="continue"/>
            <w:vAlign w:val="center"/>
          </w:tcPr>
          <w:p w14:paraId="48DD9CA6">
            <w:pPr>
              <w:jc w:val="center"/>
              <w:rPr>
                <w:rFonts w:hint="eastAsia" w:cs="宋体" w:asciiTheme="minorEastAsia" w:hAnsiTheme="minorEastAsia" w:eastAsiaTheme="minorEastAsia"/>
                <w:sz w:val="24"/>
                <w:szCs w:val="24"/>
              </w:rPr>
            </w:pPr>
          </w:p>
        </w:tc>
        <w:tc>
          <w:tcPr>
            <w:tcW w:w="2126" w:type="dxa"/>
            <w:vAlign w:val="center"/>
          </w:tcPr>
          <w:p w14:paraId="12BD745B">
            <w:pPr>
              <w:jc w:val="center"/>
              <w:rPr>
                <w:rFonts w:hint="eastAsia" w:cs="宋体" w:asciiTheme="minorEastAsia" w:hAnsiTheme="minorEastAsia" w:eastAsiaTheme="minorEastAsia"/>
                <w:color w:val="000000" w:themeColor="text1"/>
                <w:sz w:val="24"/>
                <w:szCs w:val="24"/>
                <w14:textFill>
                  <w14:solidFill>
                    <w14:schemeClr w14:val="tx1"/>
                  </w14:solidFill>
                </w14:textFill>
              </w:rPr>
            </w:pPr>
            <w:r>
              <w:rPr>
                <w:rFonts w:hint="eastAsia" w:cs="宋体" w:asciiTheme="minorEastAsia" w:hAnsiTheme="minorEastAsia" w:eastAsiaTheme="minorEastAsia"/>
                <w:color w:val="000000" w:themeColor="text1"/>
                <w:sz w:val="24"/>
                <w:szCs w:val="24"/>
                <w14:textFill>
                  <w14:solidFill>
                    <w14:schemeClr w14:val="tx1"/>
                  </w14:solidFill>
                </w14:textFill>
              </w:rPr>
              <w:t>14:45～16:15</w:t>
            </w:r>
          </w:p>
        </w:tc>
        <w:tc>
          <w:tcPr>
            <w:tcW w:w="4443" w:type="dxa"/>
            <w:vAlign w:val="center"/>
          </w:tcPr>
          <w:p w14:paraId="0D9D6AE0">
            <w:pPr>
              <w:ind w:hanging="2"/>
              <w:jc w:val="center"/>
              <w:rPr>
                <w:rFonts w:hint="eastAsia" w:cs="宋体" w:asciiTheme="minorEastAsia" w:hAnsiTheme="minorEastAsia" w:eastAsiaTheme="minorEastAsia"/>
                <w:color w:val="000000" w:themeColor="text1"/>
                <w:sz w:val="24"/>
                <w:szCs w:val="24"/>
                <w:highlight w:val="yellow"/>
                <w14:textFill>
                  <w14:solidFill>
                    <w14:schemeClr w14:val="tx1"/>
                  </w14:solidFill>
                </w14:textFill>
              </w:rPr>
            </w:pPr>
            <w:r>
              <w:rPr>
                <w:rFonts w:hint="eastAsia" w:cs="宋体" w:asciiTheme="minorEastAsia" w:hAnsiTheme="minorEastAsia" w:eastAsiaTheme="minorEastAsia"/>
                <w:color w:val="000000" w:themeColor="text1"/>
                <w:sz w:val="24"/>
                <w:szCs w:val="24"/>
                <w14:textFill>
                  <w14:solidFill>
                    <w14:schemeClr w14:val="tx1"/>
                  </w14:solidFill>
                </w14:textFill>
              </w:rPr>
              <w:t>基于高质量发展的城市更新与乡村振兴</w:t>
            </w:r>
          </w:p>
        </w:tc>
        <w:tc>
          <w:tcPr>
            <w:tcW w:w="1191" w:type="dxa"/>
            <w:vAlign w:val="center"/>
          </w:tcPr>
          <w:p w14:paraId="1C625EBE">
            <w:pPr>
              <w:jc w:val="center"/>
              <w:rPr>
                <w:rFonts w:hint="eastAsia" w:cs="宋体" w:asciiTheme="minorEastAsia" w:hAnsiTheme="minorEastAsia" w:eastAsiaTheme="minorEastAsia"/>
                <w:color w:val="000000" w:themeColor="text1"/>
                <w:sz w:val="24"/>
                <w:szCs w:val="24"/>
                <w14:textFill>
                  <w14:solidFill>
                    <w14:schemeClr w14:val="tx1"/>
                  </w14:solidFill>
                </w14:textFill>
              </w:rPr>
            </w:pPr>
            <w:r>
              <w:rPr>
                <w:rFonts w:hint="eastAsia" w:cs="宋体" w:asciiTheme="minorEastAsia" w:hAnsiTheme="minorEastAsia" w:eastAsiaTheme="minorEastAsia"/>
                <w:color w:val="000000" w:themeColor="text1"/>
                <w:sz w:val="24"/>
                <w:szCs w:val="24"/>
                <w14:textFill>
                  <w14:solidFill>
                    <w14:schemeClr w14:val="tx1"/>
                  </w14:solidFill>
                </w14:textFill>
              </w:rPr>
              <w:t>张雁</w:t>
            </w:r>
          </w:p>
        </w:tc>
      </w:tr>
      <w:tr w14:paraId="64F34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trPr>
        <w:tc>
          <w:tcPr>
            <w:tcW w:w="1418" w:type="dxa"/>
            <w:vMerge w:val="restart"/>
            <w:vAlign w:val="center"/>
          </w:tcPr>
          <w:p w14:paraId="17CDD194">
            <w:pPr>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sz w:val="24"/>
                <w:szCs w:val="24"/>
              </w:rPr>
              <w:t>10月22日</w:t>
            </w:r>
          </w:p>
          <w:p w14:paraId="44ED0CBF">
            <w:pPr>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sz w:val="24"/>
                <w:szCs w:val="24"/>
              </w:rPr>
              <w:t>星期三</w:t>
            </w:r>
          </w:p>
        </w:tc>
        <w:tc>
          <w:tcPr>
            <w:tcW w:w="2126" w:type="dxa"/>
            <w:vAlign w:val="center"/>
          </w:tcPr>
          <w:p w14:paraId="30787D1D">
            <w:pPr>
              <w:jc w:val="center"/>
              <w:rPr>
                <w:rFonts w:hint="eastAsia" w:cs="宋体" w:asciiTheme="minorEastAsia" w:hAnsiTheme="minorEastAsia" w:eastAsiaTheme="minorEastAsia"/>
                <w:color w:val="000000" w:themeColor="text1"/>
                <w:sz w:val="24"/>
                <w:szCs w:val="24"/>
                <w14:textFill>
                  <w14:solidFill>
                    <w14:schemeClr w14:val="tx1"/>
                  </w14:solidFill>
                </w14:textFill>
              </w:rPr>
            </w:pPr>
            <w:r>
              <w:rPr>
                <w:rFonts w:hint="eastAsia" w:cs="宋体" w:asciiTheme="minorEastAsia" w:hAnsiTheme="minorEastAsia" w:eastAsiaTheme="minorEastAsia"/>
                <w:color w:val="000000" w:themeColor="text1"/>
                <w:sz w:val="24"/>
                <w:szCs w:val="24"/>
                <w14:textFill>
                  <w14:solidFill>
                    <w14:schemeClr w14:val="tx1"/>
                  </w14:solidFill>
                </w14:textFill>
              </w:rPr>
              <w:t>8:3</w:t>
            </w:r>
            <w:r>
              <w:rPr>
                <w:rFonts w:cs="宋体" w:asciiTheme="minorEastAsia" w:hAnsiTheme="minorEastAsia" w:eastAsiaTheme="minorEastAsia"/>
                <w:color w:val="000000" w:themeColor="text1"/>
                <w:sz w:val="24"/>
                <w:szCs w:val="24"/>
                <w14:textFill>
                  <w14:solidFill>
                    <w14:schemeClr w14:val="tx1"/>
                  </w14:solidFill>
                </w14:textFill>
              </w:rPr>
              <w:t>0</w:t>
            </w:r>
            <w:r>
              <w:rPr>
                <w:rFonts w:hint="eastAsia" w:cs="宋体" w:asciiTheme="minorEastAsia" w:hAnsiTheme="minorEastAsia" w:eastAsiaTheme="minorEastAsia"/>
                <w:color w:val="000000" w:themeColor="text1"/>
                <w:sz w:val="24"/>
                <w:szCs w:val="24"/>
                <w14:textFill>
                  <w14:solidFill>
                    <w14:schemeClr w14:val="tx1"/>
                  </w14:solidFill>
                </w14:textFill>
              </w:rPr>
              <w:t>～12:00</w:t>
            </w:r>
          </w:p>
        </w:tc>
        <w:tc>
          <w:tcPr>
            <w:tcW w:w="4443" w:type="dxa"/>
            <w:vAlign w:val="center"/>
          </w:tcPr>
          <w:p w14:paraId="47B5D9C0">
            <w:pPr>
              <w:ind w:hanging="2"/>
              <w:jc w:val="center"/>
              <w:rPr>
                <w:rFonts w:hint="eastAsia" w:cs="宋体" w:asciiTheme="minorEastAsia" w:hAnsiTheme="minorEastAsia" w:eastAsiaTheme="minorEastAsia"/>
                <w:color w:val="FF0000"/>
                <w:sz w:val="24"/>
                <w:szCs w:val="24"/>
              </w:rPr>
            </w:pPr>
            <w:r>
              <w:rPr>
                <w:rFonts w:hint="eastAsia" w:cs="宋体" w:asciiTheme="minorEastAsia" w:hAnsiTheme="minorEastAsia" w:eastAsiaTheme="minorEastAsia"/>
                <w:sz w:val="24"/>
                <w:szCs w:val="24"/>
              </w:rPr>
              <w:t>生成式AI与强化学习联合驱动的建筑结构智能设计：理论与案例分析</w:t>
            </w:r>
          </w:p>
        </w:tc>
        <w:tc>
          <w:tcPr>
            <w:tcW w:w="1191" w:type="dxa"/>
            <w:vAlign w:val="center"/>
          </w:tcPr>
          <w:p w14:paraId="1C4D27AE">
            <w:pPr>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sz w:val="24"/>
                <w:szCs w:val="24"/>
              </w:rPr>
              <w:t>高宇擎</w:t>
            </w:r>
          </w:p>
        </w:tc>
      </w:tr>
      <w:tr w14:paraId="12067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3" w:hRule="atLeast"/>
        </w:trPr>
        <w:tc>
          <w:tcPr>
            <w:tcW w:w="1418" w:type="dxa"/>
            <w:vMerge w:val="continue"/>
            <w:vAlign w:val="center"/>
          </w:tcPr>
          <w:p w14:paraId="1C2F23AB">
            <w:pPr>
              <w:jc w:val="center"/>
              <w:rPr>
                <w:rFonts w:hint="eastAsia" w:cs="宋体" w:asciiTheme="minorEastAsia" w:hAnsiTheme="minorEastAsia" w:eastAsiaTheme="minorEastAsia"/>
                <w:sz w:val="24"/>
                <w:szCs w:val="24"/>
              </w:rPr>
            </w:pPr>
          </w:p>
        </w:tc>
        <w:tc>
          <w:tcPr>
            <w:tcW w:w="2126" w:type="dxa"/>
            <w:vAlign w:val="center"/>
          </w:tcPr>
          <w:p w14:paraId="68A9A117">
            <w:pPr>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color w:val="000000" w:themeColor="text1"/>
                <w:sz w:val="24"/>
                <w:szCs w:val="24"/>
                <w14:textFill>
                  <w14:solidFill>
                    <w14:schemeClr w14:val="tx1"/>
                  </w14:solidFill>
                </w14:textFill>
              </w:rPr>
              <w:t>13:00～17:00</w:t>
            </w:r>
          </w:p>
        </w:tc>
        <w:tc>
          <w:tcPr>
            <w:tcW w:w="4443" w:type="dxa"/>
            <w:vAlign w:val="center"/>
          </w:tcPr>
          <w:p w14:paraId="1EF320CA">
            <w:pPr>
              <w:ind w:hanging="2"/>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color w:val="000000" w:themeColor="text1"/>
                <w:sz w:val="24"/>
                <w:szCs w:val="24"/>
                <w14:textFill>
                  <w14:solidFill>
                    <w14:schemeClr w14:val="tx1"/>
                  </w14:solidFill>
                </w14:textFill>
              </w:rPr>
              <w:t>地下工程的智能设计与智能建造</w:t>
            </w:r>
          </w:p>
        </w:tc>
        <w:tc>
          <w:tcPr>
            <w:tcW w:w="1191" w:type="dxa"/>
            <w:vAlign w:val="center"/>
          </w:tcPr>
          <w:p w14:paraId="5C612B26">
            <w:pPr>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color w:val="000000" w:themeColor="text1"/>
                <w:sz w:val="24"/>
                <w:szCs w:val="24"/>
                <w14:textFill>
                  <w14:solidFill>
                    <w14:schemeClr w14:val="tx1"/>
                  </w14:solidFill>
                </w14:textFill>
              </w:rPr>
              <w:t>李晓军</w:t>
            </w:r>
          </w:p>
        </w:tc>
      </w:tr>
      <w:tr w14:paraId="63A87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trPr>
        <w:tc>
          <w:tcPr>
            <w:tcW w:w="1418" w:type="dxa"/>
            <w:vMerge w:val="restart"/>
            <w:vAlign w:val="center"/>
          </w:tcPr>
          <w:p w14:paraId="361A2281">
            <w:pPr>
              <w:jc w:val="center"/>
              <w:rPr>
                <w:rFonts w:hint="eastAsia" w:cs="宋体" w:asciiTheme="minorEastAsia" w:hAnsiTheme="minorEastAsia" w:eastAsiaTheme="minorEastAsia"/>
                <w:sz w:val="24"/>
                <w:szCs w:val="24"/>
              </w:rPr>
            </w:pPr>
            <w:bookmarkStart w:id="2" w:name="_Hlk173851769"/>
            <w:r>
              <w:rPr>
                <w:rFonts w:hint="eastAsia" w:cs="宋体" w:asciiTheme="minorEastAsia" w:hAnsiTheme="minorEastAsia" w:eastAsiaTheme="minorEastAsia"/>
                <w:sz w:val="24"/>
                <w:szCs w:val="24"/>
              </w:rPr>
              <w:t>10月23日</w:t>
            </w:r>
          </w:p>
          <w:p w14:paraId="7558721A">
            <w:pPr>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sz w:val="24"/>
                <w:szCs w:val="24"/>
              </w:rPr>
              <w:t>星期四</w:t>
            </w:r>
          </w:p>
        </w:tc>
        <w:tc>
          <w:tcPr>
            <w:tcW w:w="2126" w:type="dxa"/>
            <w:vAlign w:val="center"/>
          </w:tcPr>
          <w:p w14:paraId="0D01EE2B">
            <w:pPr>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sz w:val="24"/>
                <w:szCs w:val="24"/>
              </w:rPr>
              <w:t>8:45～</w:t>
            </w:r>
            <w:r>
              <w:rPr>
                <w:rFonts w:cs="宋体" w:asciiTheme="minorEastAsia" w:hAnsiTheme="minorEastAsia" w:eastAsiaTheme="minorEastAsia"/>
                <w:sz w:val="24"/>
                <w:szCs w:val="24"/>
              </w:rPr>
              <w:t>1</w:t>
            </w:r>
            <w:r>
              <w:rPr>
                <w:rFonts w:hint="eastAsia" w:cs="宋体" w:asciiTheme="minorEastAsia" w:hAnsiTheme="minorEastAsia" w:eastAsiaTheme="minorEastAsia"/>
                <w:sz w:val="24"/>
                <w:szCs w:val="24"/>
              </w:rPr>
              <w:t>0:15</w:t>
            </w:r>
          </w:p>
        </w:tc>
        <w:tc>
          <w:tcPr>
            <w:tcW w:w="4443" w:type="dxa"/>
            <w:vAlign w:val="center"/>
          </w:tcPr>
          <w:p w14:paraId="69A86F03">
            <w:pPr>
              <w:ind w:hanging="2"/>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sz w:val="24"/>
                <w:szCs w:val="24"/>
              </w:rPr>
              <w:t>空港交通枢纽设计创作</w:t>
            </w:r>
          </w:p>
        </w:tc>
        <w:tc>
          <w:tcPr>
            <w:tcW w:w="1191" w:type="dxa"/>
            <w:vAlign w:val="center"/>
          </w:tcPr>
          <w:p w14:paraId="7B85F10D">
            <w:pPr>
              <w:jc w:val="center"/>
              <w:rPr>
                <w:rFonts w:hint="eastAsia" w:ascii="宋体" w:hAnsi="宋体" w:cs="宋体"/>
                <w:sz w:val="24"/>
                <w:szCs w:val="24"/>
                <w:highlight w:val="yellow"/>
              </w:rPr>
            </w:pPr>
            <w:r>
              <w:rPr>
                <w:rFonts w:hint="eastAsia" w:cs="宋体" w:asciiTheme="minorEastAsia" w:hAnsiTheme="minorEastAsia" w:eastAsiaTheme="minorEastAsia"/>
                <w:sz w:val="24"/>
                <w:szCs w:val="24"/>
              </w:rPr>
              <w:t>郭建祥</w:t>
            </w:r>
          </w:p>
        </w:tc>
      </w:tr>
      <w:tr w14:paraId="1FB01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7" w:hRule="atLeast"/>
        </w:trPr>
        <w:tc>
          <w:tcPr>
            <w:tcW w:w="1418" w:type="dxa"/>
            <w:vMerge w:val="continue"/>
            <w:vAlign w:val="center"/>
          </w:tcPr>
          <w:p w14:paraId="1A872661">
            <w:pPr>
              <w:jc w:val="center"/>
              <w:rPr>
                <w:rFonts w:hint="eastAsia" w:cs="宋体" w:asciiTheme="minorEastAsia" w:hAnsiTheme="minorEastAsia" w:eastAsiaTheme="minorEastAsia"/>
                <w:sz w:val="24"/>
                <w:szCs w:val="24"/>
              </w:rPr>
            </w:pPr>
          </w:p>
        </w:tc>
        <w:tc>
          <w:tcPr>
            <w:tcW w:w="2126" w:type="dxa"/>
            <w:vAlign w:val="center"/>
          </w:tcPr>
          <w:p w14:paraId="580E2B8D">
            <w:pPr>
              <w:jc w:val="center"/>
              <w:rPr>
                <w:rFonts w:hint="eastAsia" w:cs="宋体" w:asciiTheme="minorEastAsia" w:hAnsiTheme="minorEastAsia" w:eastAsiaTheme="minorEastAsia"/>
                <w:sz w:val="24"/>
                <w:szCs w:val="24"/>
              </w:rPr>
            </w:pPr>
            <w:r>
              <w:rPr>
                <w:rFonts w:hint="eastAsia" w:cs="宋体" w:asciiTheme="minorEastAsia" w:hAnsiTheme="minorEastAsia" w:eastAsiaTheme="minorEastAsia"/>
                <w:sz w:val="24"/>
                <w:szCs w:val="24"/>
              </w:rPr>
              <w:t>10:30～</w:t>
            </w:r>
            <w:r>
              <w:rPr>
                <w:rFonts w:cs="宋体" w:asciiTheme="minorEastAsia" w:hAnsiTheme="minorEastAsia" w:eastAsiaTheme="minorEastAsia"/>
                <w:sz w:val="24"/>
                <w:szCs w:val="24"/>
              </w:rPr>
              <w:t>1</w:t>
            </w:r>
            <w:r>
              <w:rPr>
                <w:rFonts w:hint="eastAsia" w:cs="宋体" w:asciiTheme="minorEastAsia" w:hAnsiTheme="minorEastAsia" w:eastAsiaTheme="minorEastAsia"/>
                <w:sz w:val="24"/>
                <w:szCs w:val="24"/>
              </w:rPr>
              <w:t>2:00</w:t>
            </w:r>
          </w:p>
        </w:tc>
        <w:tc>
          <w:tcPr>
            <w:tcW w:w="4443" w:type="dxa"/>
            <w:vAlign w:val="center"/>
          </w:tcPr>
          <w:p w14:paraId="461F6488">
            <w:pPr>
              <w:ind w:hanging="2"/>
              <w:jc w:val="center"/>
              <w:rPr>
                <w:rFonts w:hint="eastAsia" w:cs="宋体" w:asciiTheme="minorEastAsia" w:hAnsiTheme="minorEastAsia" w:eastAsiaTheme="minorEastAsia"/>
                <w:color w:val="EE0000"/>
                <w:sz w:val="24"/>
                <w:szCs w:val="24"/>
              </w:rPr>
            </w:pPr>
            <w:r>
              <w:rPr>
                <w:rFonts w:hint="eastAsia" w:cs="宋体" w:asciiTheme="minorEastAsia" w:hAnsiTheme="minorEastAsia" w:eastAsiaTheme="minorEastAsia"/>
                <w:sz w:val="24"/>
                <w:szCs w:val="24"/>
              </w:rPr>
              <w:t>数字设计应用</w:t>
            </w:r>
          </w:p>
        </w:tc>
        <w:tc>
          <w:tcPr>
            <w:tcW w:w="1191" w:type="dxa"/>
            <w:vAlign w:val="center"/>
          </w:tcPr>
          <w:p w14:paraId="63F69819">
            <w:pPr>
              <w:jc w:val="center"/>
              <w:rPr>
                <w:rFonts w:hint="eastAsia" w:cs="宋体" w:asciiTheme="minorEastAsia" w:hAnsiTheme="minorEastAsia" w:eastAsiaTheme="minorEastAsia"/>
                <w:color w:val="EE0000"/>
                <w:sz w:val="24"/>
                <w:szCs w:val="24"/>
              </w:rPr>
            </w:pPr>
            <w:r>
              <w:rPr>
                <w:rFonts w:hint="eastAsia" w:cs="宋体" w:asciiTheme="minorEastAsia" w:hAnsiTheme="minorEastAsia" w:eastAsiaTheme="minorEastAsia"/>
                <w:sz w:val="24"/>
                <w:szCs w:val="24"/>
              </w:rPr>
              <w:t>余飞</w:t>
            </w:r>
          </w:p>
        </w:tc>
      </w:tr>
      <w:bookmarkEnd w:id="2"/>
      <w:tr w14:paraId="1322E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1" w:hRule="atLeast"/>
        </w:trPr>
        <w:tc>
          <w:tcPr>
            <w:tcW w:w="1418" w:type="dxa"/>
            <w:vMerge w:val="continue"/>
            <w:vAlign w:val="center"/>
          </w:tcPr>
          <w:p w14:paraId="2C295B9C">
            <w:pPr>
              <w:jc w:val="center"/>
              <w:rPr>
                <w:rFonts w:hint="eastAsia" w:cs="宋体" w:asciiTheme="minorEastAsia" w:hAnsiTheme="minorEastAsia" w:eastAsiaTheme="minorEastAsia"/>
                <w:sz w:val="24"/>
                <w:szCs w:val="24"/>
              </w:rPr>
            </w:pPr>
          </w:p>
        </w:tc>
        <w:tc>
          <w:tcPr>
            <w:tcW w:w="2126" w:type="dxa"/>
            <w:vAlign w:val="center"/>
          </w:tcPr>
          <w:p w14:paraId="390E1338">
            <w:pPr>
              <w:jc w:val="center"/>
              <w:rPr>
                <w:rFonts w:hint="eastAsia" w:cs="宋体" w:asciiTheme="minorEastAsia" w:hAnsiTheme="minorEastAsia" w:eastAsiaTheme="minorEastAsia"/>
                <w:sz w:val="24"/>
                <w:szCs w:val="24"/>
              </w:rPr>
            </w:pPr>
            <w:bookmarkStart w:id="3" w:name="OLE_LINK2"/>
            <w:r>
              <w:rPr>
                <w:rFonts w:hint="eastAsia" w:cs="宋体" w:asciiTheme="minorEastAsia" w:hAnsiTheme="minorEastAsia" w:eastAsiaTheme="minorEastAsia"/>
                <w:sz w:val="24"/>
                <w:szCs w:val="24"/>
              </w:rPr>
              <w:t>13:00～14:30</w:t>
            </w:r>
            <w:bookmarkEnd w:id="3"/>
          </w:p>
        </w:tc>
        <w:tc>
          <w:tcPr>
            <w:tcW w:w="4443" w:type="dxa"/>
            <w:vAlign w:val="center"/>
          </w:tcPr>
          <w:p w14:paraId="3C046CEF">
            <w:pPr>
              <w:ind w:hanging="2"/>
              <w:jc w:val="center"/>
              <w:rPr>
                <w:sz w:val="24"/>
                <w:szCs w:val="24"/>
                <w:highlight w:val="green"/>
              </w:rPr>
            </w:pPr>
            <w:bookmarkStart w:id="4" w:name="OLE_LINK3"/>
            <w:r>
              <w:rPr>
                <w:rFonts w:hint="eastAsia" w:cs="宋体" w:asciiTheme="minorEastAsia" w:hAnsiTheme="minorEastAsia" w:eastAsiaTheme="minorEastAsia"/>
                <w:sz w:val="24"/>
                <w:szCs w:val="24"/>
              </w:rPr>
              <w:t>城市更新的起源、政策和案例</w:t>
            </w:r>
            <w:bookmarkEnd w:id="4"/>
          </w:p>
        </w:tc>
        <w:tc>
          <w:tcPr>
            <w:tcW w:w="1191" w:type="dxa"/>
            <w:vAlign w:val="center"/>
          </w:tcPr>
          <w:p w14:paraId="7BD8F904">
            <w:pPr>
              <w:jc w:val="center"/>
              <w:rPr>
                <w:sz w:val="24"/>
                <w:szCs w:val="24"/>
                <w:highlight w:val="green"/>
              </w:rPr>
            </w:pPr>
            <w:r>
              <w:rPr>
                <w:rFonts w:hint="eastAsia" w:cs="宋体" w:asciiTheme="minorEastAsia" w:hAnsiTheme="minorEastAsia" w:eastAsiaTheme="minorEastAsia"/>
                <w:sz w:val="24"/>
                <w:szCs w:val="24"/>
              </w:rPr>
              <w:t>邹勋</w:t>
            </w:r>
          </w:p>
        </w:tc>
      </w:tr>
      <w:tr w14:paraId="458592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1418" w:type="dxa"/>
            <w:vMerge w:val="continue"/>
            <w:vAlign w:val="center"/>
          </w:tcPr>
          <w:p w14:paraId="1E1161CF">
            <w:pPr>
              <w:jc w:val="center"/>
              <w:rPr>
                <w:rFonts w:hint="eastAsia" w:cs="宋体" w:asciiTheme="minorEastAsia" w:hAnsiTheme="minorEastAsia" w:eastAsiaTheme="minorEastAsia"/>
                <w:sz w:val="24"/>
                <w:szCs w:val="24"/>
              </w:rPr>
            </w:pPr>
          </w:p>
        </w:tc>
        <w:tc>
          <w:tcPr>
            <w:tcW w:w="2126" w:type="dxa"/>
            <w:vAlign w:val="center"/>
          </w:tcPr>
          <w:p w14:paraId="797D5C7D">
            <w:pPr>
              <w:jc w:val="center"/>
              <w:rPr>
                <w:rFonts w:hint="eastAsia" w:cs="宋体" w:asciiTheme="minorEastAsia" w:hAnsiTheme="minorEastAsia" w:eastAsiaTheme="minorEastAsia"/>
                <w:color w:val="000000" w:themeColor="text1"/>
                <w:sz w:val="24"/>
                <w:szCs w:val="24"/>
                <w14:textFill>
                  <w14:solidFill>
                    <w14:schemeClr w14:val="tx1"/>
                  </w14:solidFill>
                </w14:textFill>
              </w:rPr>
            </w:pPr>
            <w:bookmarkStart w:id="5" w:name="OLE_LINK4"/>
            <w:r>
              <w:rPr>
                <w:rFonts w:hint="eastAsia" w:cs="宋体" w:asciiTheme="minorEastAsia" w:hAnsiTheme="minorEastAsia" w:eastAsiaTheme="minorEastAsia"/>
                <w:color w:val="000000" w:themeColor="text1"/>
                <w:sz w:val="24"/>
                <w:szCs w:val="24"/>
                <w14:textFill>
                  <w14:solidFill>
                    <w14:schemeClr w14:val="tx1"/>
                  </w14:solidFill>
                </w14:textFill>
              </w:rPr>
              <w:t>14:45～</w:t>
            </w:r>
            <w:r>
              <w:rPr>
                <w:rFonts w:cs="宋体" w:asciiTheme="minorEastAsia" w:hAnsiTheme="minorEastAsia" w:eastAsiaTheme="minorEastAsia"/>
                <w:color w:val="000000" w:themeColor="text1"/>
                <w:sz w:val="24"/>
                <w:szCs w:val="24"/>
                <w14:textFill>
                  <w14:solidFill>
                    <w14:schemeClr w14:val="tx1"/>
                  </w14:solidFill>
                </w14:textFill>
              </w:rPr>
              <w:t>1</w:t>
            </w:r>
            <w:r>
              <w:rPr>
                <w:rFonts w:hint="eastAsia" w:cs="宋体" w:asciiTheme="minorEastAsia" w:hAnsiTheme="minorEastAsia" w:eastAsiaTheme="minorEastAsia"/>
                <w:color w:val="000000" w:themeColor="text1"/>
                <w:sz w:val="24"/>
                <w:szCs w:val="24"/>
                <w14:textFill>
                  <w14:solidFill>
                    <w14:schemeClr w14:val="tx1"/>
                  </w14:solidFill>
                </w14:textFill>
              </w:rPr>
              <w:t>6:15</w:t>
            </w:r>
            <w:bookmarkEnd w:id="5"/>
          </w:p>
        </w:tc>
        <w:tc>
          <w:tcPr>
            <w:tcW w:w="4443" w:type="dxa"/>
            <w:vAlign w:val="center"/>
          </w:tcPr>
          <w:p w14:paraId="1313EAA4">
            <w:pPr>
              <w:ind w:hanging="2"/>
              <w:jc w:val="center"/>
              <w:rPr>
                <w:rFonts w:hint="eastAsia" w:cs="宋体" w:asciiTheme="minorEastAsia" w:hAnsiTheme="minorEastAsia" w:eastAsiaTheme="minorEastAsia"/>
                <w:color w:val="000000" w:themeColor="text1"/>
                <w:sz w:val="24"/>
                <w:szCs w:val="24"/>
                <w14:textFill>
                  <w14:solidFill>
                    <w14:schemeClr w14:val="tx1"/>
                  </w14:solidFill>
                </w14:textFill>
              </w:rPr>
            </w:pPr>
            <w:r>
              <w:rPr>
                <w:rFonts w:hint="eastAsia" w:cs="宋体" w:asciiTheme="minorEastAsia" w:hAnsiTheme="minorEastAsia" w:eastAsiaTheme="minorEastAsia"/>
                <w:color w:val="000000" w:themeColor="text1"/>
                <w:sz w:val="24"/>
                <w:szCs w:val="24"/>
                <w14:textFill>
                  <w14:solidFill>
                    <w14:schemeClr w14:val="tx1"/>
                  </w14:solidFill>
                </w14:textFill>
              </w:rPr>
              <w:t>数字赋能城市更新高质量发展</w:t>
            </w:r>
          </w:p>
        </w:tc>
        <w:tc>
          <w:tcPr>
            <w:tcW w:w="1191" w:type="dxa"/>
            <w:vAlign w:val="center"/>
          </w:tcPr>
          <w:p w14:paraId="443A2E9A">
            <w:pPr>
              <w:jc w:val="center"/>
              <w:rPr>
                <w:rFonts w:hint="eastAsia" w:cs="宋体" w:asciiTheme="minorEastAsia" w:hAnsiTheme="minorEastAsia" w:eastAsiaTheme="minorEastAsia"/>
                <w:color w:val="000000" w:themeColor="text1"/>
                <w:sz w:val="24"/>
                <w:szCs w:val="24"/>
                <w14:textFill>
                  <w14:solidFill>
                    <w14:schemeClr w14:val="tx1"/>
                  </w14:solidFill>
                </w14:textFill>
              </w:rPr>
            </w:pPr>
            <w:bookmarkStart w:id="6" w:name="OLE_LINK5"/>
            <w:r>
              <w:rPr>
                <w:rFonts w:hint="eastAsia" w:cs="宋体" w:asciiTheme="minorEastAsia" w:hAnsiTheme="minorEastAsia" w:eastAsiaTheme="minorEastAsia"/>
                <w:color w:val="000000" w:themeColor="text1"/>
                <w:sz w:val="24"/>
                <w:szCs w:val="24"/>
                <w14:textFill>
                  <w14:solidFill>
                    <w14:schemeClr w14:val="tx1"/>
                  </w14:solidFill>
                </w14:textFill>
              </w:rPr>
              <w:t>谷志旺</w:t>
            </w:r>
            <w:bookmarkEnd w:id="6"/>
          </w:p>
        </w:tc>
      </w:tr>
      <w:bookmarkEnd w:id="0"/>
    </w:tbl>
    <w:p w14:paraId="003C67F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pPr>
    </w:p>
    <w:p w14:paraId="28BF11F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pPr>
      <w:r>
        <w:t>（上述课程内容以实际授课为准）</w:t>
      </w:r>
    </w:p>
    <w:p w14:paraId="1339544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p w14:paraId="5D1F957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pPr>
      <w:r>
        <w:rPr>
          <w:rStyle w:val="5"/>
        </w:rPr>
        <w:t>三、研修方式</w:t>
      </w:r>
    </w:p>
    <w:p w14:paraId="5905480E">
      <w:pPr>
        <w:spacing w:line="360" w:lineRule="auto"/>
        <w:ind w:firstLine="480" w:firstLineChars="200"/>
        <w:jc w:val="left"/>
      </w:pPr>
      <w:r>
        <w:rPr>
          <w:rFonts w:hint="eastAsia" w:asciiTheme="minorEastAsia" w:hAnsiTheme="minorEastAsia" w:eastAsiaTheme="minorEastAsia" w:cstheme="minorEastAsia"/>
          <w:sz w:val="24"/>
          <w:szCs w:val="24"/>
        </w:rPr>
        <w:t>按照高水平、小规模、重特色的要求，采取主题报告、专题研讨、学术交流、现场教学相结合的方式，邀请国内知名专家、学者、进行开展为期3天的主题报告、现场交流及学习讨论。</w:t>
      </w:r>
    </w:p>
    <w:p w14:paraId="706B369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pPr>
      <w:r>
        <w:rPr>
          <w:rStyle w:val="5"/>
        </w:rPr>
        <w:t>四、时间和地点</w:t>
      </w:r>
    </w:p>
    <w:p w14:paraId="68F7DC8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86" w:afterAutospacing="0" w:line="360" w:lineRule="auto"/>
        <w:ind w:left="0" w:right="0" w:firstLine="420"/>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（一）研修时间：2025年10月21日至10月2</w:t>
      </w:r>
      <w:r>
        <w:rPr>
          <w:rFonts w:hint="eastAsia" w:asciiTheme="minorEastAsia" w:hAnsiTheme="minorEastAsia" w:cstheme="minorEastAsia"/>
          <w:kern w:val="2"/>
          <w:sz w:val="24"/>
          <w:szCs w:val="24"/>
          <w:lang w:val="en-US" w:eastAsia="zh-CN" w:bidi="ar-SA"/>
        </w:rPr>
        <w:t>3</w:t>
      </w:r>
      <w:r>
        <w:rPr>
          <w:rFonts w:hint="eastAsia" w:asciiTheme="minorEastAsia" w:hAnsiTheme="minorEastAsia" w:eastAsiaTheme="minorEastAsia" w:cstheme="minorEastAsia"/>
          <w:kern w:val="2"/>
          <w:sz w:val="24"/>
          <w:szCs w:val="24"/>
          <w:lang w:val="en-US" w:eastAsia="zh-CN" w:bidi="ar-SA"/>
        </w:rPr>
        <w:t>日</w:t>
      </w:r>
    </w:p>
    <w:p w14:paraId="38B48919">
      <w:pPr>
        <w:autoSpaceDE w:val="0"/>
        <w:autoSpaceDN w:val="0"/>
        <w:adjustRightInd w:val="0"/>
        <w:spacing w:line="360" w:lineRule="auto"/>
        <w:ind w:left="0" w:leftChars="0" w:firstLine="420" w:firstLineChars="175"/>
      </w:pPr>
      <w:r>
        <w:rPr>
          <w:rFonts w:hint="eastAsia" w:asciiTheme="minorEastAsia" w:hAnsiTheme="minorEastAsia" w:eastAsiaTheme="minorEastAsia" w:cstheme="minorEastAsia"/>
          <w:kern w:val="2"/>
          <w:sz w:val="24"/>
          <w:szCs w:val="24"/>
          <w:lang w:val="en-US" w:eastAsia="zh-CN" w:bidi="ar-SA"/>
        </w:rPr>
        <w:t>（二）研修地点： 上海市静安区石门二路268号一楼多功能厅</w:t>
      </w:r>
    </w:p>
    <w:p w14:paraId="3316D1F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Style w:val="5"/>
        </w:rPr>
        <w:t>五、报名方式</w:t>
      </w:r>
    </w:p>
    <w:p w14:paraId="427229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20"/>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请各有关单位确定参加人员，并于2025年</w:t>
      </w:r>
      <w:bookmarkStart w:id="7" w:name="_GoBack"/>
      <w:bookmarkEnd w:id="7"/>
      <w:r>
        <w:rPr>
          <w:rFonts w:hint="eastAsia" w:asciiTheme="minorEastAsia" w:hAnsiTheme="minorEastAsia" w:eastAsiaTheme="minorEastAsia" w:cstheme="minorEastAsia"/>
          <w:kern w:val="2"/>
          <w:sz w:val="24"/>
          <w:szCs w:val="24"/>
          <w:lang w:val="en-US" w:eastAsia="zh-CN" w:bidi="ar-SA"/>
        </w:rPr>
        <w:t>10月20日前登陆“上海市专业技术人员继续教育公共服务平台”学习中心进行报名。报名成功后，可以系统内进行查询报名状态，本次培训共招收</w:t>
      </w:r>
      <w:r>
        <w:rPr>
          <w:rFonts w:hint="eastAsia" w:asciiTheme="minorEastAsia" w:hAnsiTheme="minorEastAsia" w:cstheme="minorEastAsia"/>
          <w:kern w:val="2"/>
          <w:sz w:val="24"/>
          <w:szCs w:val="24"/>
          <w:lang w:val="en-US" w:eastAsia="zh-CN" w:bidi="ar-SA"/>
        </w:rPr>
        <w:t>100</w:t>
      </w:r>
      <w:r>
        <w:rPr>
          <w:rFonts w:hint="eastAsia" w:asciiTheme="minorEastAsia" w:hAnsiTheme="minorEastAsia" w:eastAsiaTheme="minorEastAsia" w:cstheme="minorEastAsia"/>
          <w:kern w:val="2"/>
          <w:sz w:val="24"/>
          <w:szCs w:val="24"/>
          <w:lang w:val="en-US" w:eastAsia="zh-CN" w:bidi="ar-SA"/>
        </w:rPr>
        <w:t>人，额满即止。</w:t>
      </w:r>
    </w:p>
    <w:p w14:paraId="08409C3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p w14:paraId="12EF499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b/>
          <w:bCs/>
        </w:rPr>
      </w:pPr>
      <w:r>
        <w:rPr>
          <w:b/>
          <w:bCs/>
        </w:rPr>
        <w:t>报名具体操作如下：</w:t>
      </w:r>
    </w:p>
    <w:p w14:paraId="1CC2490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20"/>
        <w:jc w:val="left"/>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1、登录“上海市专业技术人员继续教育公共服务平台”（网址： https://www.rsj.sh.gov.cn/jxjy/#/index ）。点击右上角“学习中心”，进入“上海市人力资源和社会保障自助经办系统”。</w:t>
      </w:r>
    </w:p>
    <w:p w14:paraId="15BEE54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20"/>
        <w:jc w:val="left"/>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w:t>
      </w:r>
      <w:r>
        <w:rPr>
          <w:rFonts w:hint="eastAsia" w:asciiTheme="minorEastAsia" w:hAnsiTheme="minorEastAsia" w:cstheme="minorEastAsia"/>
          <w:kern w:val="2"/>
          <w:sz w:val="24"/>
          <w:szCs w:val="24"/>
          <w:lang w:val="en-US" w:eastAsia="zh-CN" w:bidi="ar-SA"/>
        </w:rPr>
        <w:t>、</w:t>
      </w:r>
      <w:r>
        <w:rPr>
          <w:rFonts w:hint="eastAsia" w:asciiTheme="minorEastAsia" w:hAnsiTheme="minorEastAsia" w:eastAsiaTheme="minorEastAsia" w:cstheme="minorEastAsia"/>
          <w:kern w:val="2"/>
          <w:sz w:val="24"/>
          <w:szCs w:val="24"/>
          <w:lang w:val="en-US" w:eastAsia="zh-CN" w:bidi="ar-SA"/>
        </w:rPr>
        <w:t>使用随申办市民云APP扫描登录“上海市人力资源和社会保障自助经办系统”(首次登陆需根据相关提示申领CA证书并设置密码后，方可扫码登陆)。</w:t>
      </w:r>
    </w:p>
    <w:p w14:paraId="6C4060D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20"/>
        <w:jc w:val="left"/>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w:t>
      </w:r>
      <w:r>
        <w:rPr>
          <w:rFonts w:hint="eastAsia" w:asciiTheme="minorEastAsia" w:hAnsiTheme="minorEastAsia" w:cstheme="minorEastAsia"/>
          <w:kern w:val="2"/>
          <w:sz w:val="24"/>
          <w:szCs w:val="24"/>
          <w:lang w:val="en-US" w:eastAsia="zh-CN" w:bidi="ar-SA"/>
        </w:rPr>
        <w:t>、</w:t>
      </w:r>
      <w:r>
        <w:rPr>
          <w:rFonts w:hint="eastAsia" w:asciiTheme="minorEastAsia" w:hAnsiTheme="minorEastAsia" w:eastAsiaTheme="minorEastAsia" w:cstheme="minorEastAsia"/>
          <w:kern w:val="2"/>
          <w:sz w:val="24"/>
          <w:szCs w:val="24"/>
          <w:lang w:val="en-US" w:eastAsia="zh-CN" w:bidi="ar-SA"/>
        </w:rPr>
        <w:t>扫码后进入个人经办首页，选择【人事人才】栏目。</w:t>
      </w:r>
    </w:p>
    <w:p w14:paraId="2AE1E5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20"/>
        <w:jc w:val="left"/>
      </w:pPr>
      <w:r>
        <w:rPr>
          <w:rFonts w:hint="eastAsia" w:asciiTheme="minorEastAsia" w:hAnsiTheme="minorEastAsia" w:eastAsiaTheme="minorEastAsia" w:cstheme="minorEastAsia"/>
          <w:kern w:val="2"/>
          <w:sz w:val="24"/>
          <w:szCs w:val="24"/>
          <w:lang w:val="en-US" w:eastAsia="zh-CN" w:bidi="ar-SA"/>
        </w:rPr>
        <w:t>4</w:t>
      </w:r>
      <w:r>
        <w:rPr>
          <w:rFonts w:hint="eastAsia" w:asciiTheme="minorEastAsia" w:hAnsiTheme="minorEastAsia" w:cstheme="minorEastAsia"/>
          <w:kern w:val="2"/>
          <w:sz w:val="24"/>
          <w:szCs w:val="24"/>
          <w:lang w:val="en-US" w:eastAsia="zh-CN" w:bidi="ar-SA"/>
        </w:rPr>
        <w:t>、</w:t>
      </w:r>
      <w:r>
        <w:t>首次登录需先进行专业技术人员信息维护，点击“专技人员信息维护”。进入信息填写页面，补充完整个人信息，并点击【确认提交】，经后台数据校验无误后，则提示“提交成功”。</w:t>
      </w:r>
    </w:p>
    <w:p w14:paraId="2B9B6F5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20"/>
        <w:jc w:val="left"/>
        <w:rPr>
          <w:rFonts w:hint="eastAsia" w:eastAsiaTheme="minorEastAsia"/>
          <w:lang w:val="en-US" w:eastAsia="zh-CN"/>
        </w:rPr>
      </w:pPr>
      <w:r>
        <w:t>5</w:t>
      </w:r>
      <w:r>
        <w:rPr>
          <w:rFonts w:hint="eastAsia"/>
          <w:lang w:eastAsia="zh-CN"/>
        </w:rPr>
        <w:t>、</w:t>
      </w:r>
      <w:r>
        <w:t>回到【人事人才】页面，点击“继续教育学习中心”，选择“高级研修”进入页面。选择想报名的“课程图标”进行“线上报名”操作。如显示“未开始”、“招生已满”则无法提交报名申请。仔细阅读提示内容后，点击“同意”，完成报名申请。下一步需要等待承办单位“报名确认”。</w:t>
      </w:r>
      <w:r>
        <w:rPr>
          <w:rFonts w:hint="eastAsia"/>
          <w:lang w:eastAsia="zh-CN"/>
        </w:rPr>
        <w:t>“</w:t>
      </w:r>
      <w:r>
        <w:rPr>
          <w:rFonts w:hint="eastAsia"/>
          <w:lang w:val="en-US" w:eastAsia="zh-CN"/>
        </w:rPr>
        <w:t>报名确认</w:t>
      </w:r>
      <w:r>
        <w:rPr>
          <w:rFonts w:hint="eastAsia"/>
          <w:lang w:eastAsia="zh-CN"/>
        </w:rPr>
        <w:t>”</w:t>
      </w:r>
      <w:r>
        <w:rPr>
          <w:rFonts w:hint="eastAsia"/>
          <w:lang w:val="en-US" w:eastAsia="zh-CN"/>
        </w:rPr>
        <w:t>后学员可在</w:t>
      </w:r>
      <w:r>
        <w:t>【</w:t>
      </w:r>
      <w:r>
        <w:rPr>
          <w:rFonts w:hint="eastAsia"/>
          <w:lang w:val="en-US" w:eastAsia="zh-CN"/>
        </w:rPr>
        <w:t>我的报名</w:t>
      </w:r>
      <w:r>
        <w:t>】页面</w:t>
      </w:r>
      <w:r>
        <w:rPr>
          <w:rFonts w:hint="eastAsia"/>
          <w:lang w:val="en-US" w:eastAsia="zh-CN"/>
        </w:rPr>
        <w:t>查询是否报名成功。</w:t>
      </w:r>
    </w:p>
    <w:p w14:paraId="0E3FBEC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p w14:paraId="3F6654C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Style w:val="5"/>
        </w:rPr>
        <w:t>六、其他事项</w:t>
      </w:r>
    </w:p>
    <w:p w14:paraId="18A44AE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20"/>
        <w:jc w:val="left"/>
      </w:pPr>
      <w:r>
        <w:t>（一）研修人员修完规定课程、经考核合格获得24学时。学员可在30个工作后登陆“上海市专业技术人员继续教育公共服务平台”下载学时证明。</w:t>
      </w:r>
    </w:p>
    <w:p w14:paraId="3F5A89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20"/>
        <w:jc w:val="left"/>
      </w:pPr>
      <w:r>
        <w:t>（二） 本次培训免费，培训期间提供工作餐。若发生住宿、往返交通费学员自理。</w:t>
      </w:r>
    </w:p>
    <w:p w14:paraId="5AD0C51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20"/>
        <w:jc w:val="left"/>
      </w:pPr>
      <w:r>
        <w:t>（三） 课程报名：学员可登陆“上海市专业技术人员继续教育公共服务平台”学习中心进行报名。</w:t>
      </w:r>
    </w:p>
    <w:p w14:paraId="1D67032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p w14:paraId="7F49066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20"/>
        <w:jc w:val="left"/>
        <w:rPr>
          <w:rFonts w:hint="default"/>
          <w:lang w:val="en-US" w:eastAsia="zh-CN"/>
        </w:rPr>
      </w:pPr>
      <w:r>
        <w:t>承办单位</w:t>
      </w:r>
      <w:r>
        <w:rPr>
          <w:rFonts w:hint="eastAsia"/>
          <w:lang w:eastAsia="zh-CN"/>
        </w:rPr>
        <w:t>：</w:t>
      </w:r>
      <w:r>
        <w:rPr>
          <w:rFonts w:hint="eastAsia"/>
          <w:lang w:val="en-US" w:eastAsia="zh-CN"/>
        </w:rPr>
        <w:t>上海市勘察设计行业协会</w:t>
      </w:r>
    </w:p>
    <w:p w14:paraId="4723186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20"/>
        <w:jc w:val="left"/>
      </w:pPr>
      <w:r>
        <w:t>联系方式：</w:t>
      </w:r>
      <w:r>
        <w:rPr>
          <w:rFonts w:hint="eastAsia"/>
        </w:rPr>
        <w:t>康琦、</w:t>
      </w:r>
      <w:r>
        <w:rPr>
          <w:rFonts w:hint="eastAsia"/>
          <w:lang w:val="en-US" w:eastAsia="zh-CN"/>
        </w:rPr>
        <w:t>施勇、</w:t>
      </w:r>
      <w:r>
        <w:rPr>
          <w:rFonts w:hint="eastAsia"/>
        </w:rPr>
        <w:t>熊伟、张岚老师</w:t>
      </w:r>
    </w:p>
    <w:p w14:paraId="3F974A6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20"/>
        <w:jc w:val="left"/>
      </w:pPr>
      <w:r>
        <w:t>报名咨询电话：</w:t>
      </w:r>
      <w:r>
        <w:rPr>
          <w:rFonts w:hint="eastAsia"/>
        </w:rPr>
        <w:t>021-62189492、</w:t>
      </w:r>
      <w:r>
        <w:rPr>
          <w:rFonts w:hint="eastAsia"/>
          <w:lang w:val="en-US" w:eastAsia="zh-CN"/>
        </w:rPr>
        <w:t>021-62727074、</w:t>
      </w:r>
      <w:r>
        <w:rPr>
          <w:rFonts w:hint="eastAsia"/>
        </w:rPr>
        <w:t>021-63338258-6066</w:t>
      </w:r>
    </w:p>
    <w:p w14:paraId="69799F1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C74548B"/>
    <w:multiLevelType w:val="singleLevel"/>
    <w:tmpl w:val="3C74548B"/>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D5008E1"/>
    <w:rsid w:val="4E601C2C"/>
    <w:rsid w:val="5D5008E1"/>
    <w:rsid w:val="657778A7"/>
    <w:rsid w:val="6DED17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 w:type="paragraph" w:styleId="6">
    <w:name w:val="List Paragraph"/>
    <w:basedOn w:val="1"/>
    <w:qFormat/>
    <w:uiPriority w:val="34"/>
    <w:pPr>
      <w:spacing w:line="240" w:lineRule="auto"/>
      <w:ind w:firstLine="420" w:firstLineChars="200"/>
    </w:pPr>
    <w:rPr>
      <w:rFonts w:eastAsia="宋体"/>
      <w:sz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1529</Words>
  <Characters>1725</Characters>
  <Lines>0</Lines>
  <Paragraphs>0</Paragraphs>
  <TotalTime>121</TotalTime>
  <ScaleCrop>false</ScaleCrop>
  <LinksUpToDate>false</LinksUpToDate>
  <CharactersWithSpaces>1734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2025-10-15T05:06:00Z</dcterms:created>
  <dc:creator>大勇</dc:creator>
  <cp:lastModifiedBy>LaCWant灰</cp:lastModifiedBy>
  <dcterms:modified xsi:type="dcterms:W3CDTF">2025-10-16T05:13:47Z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B4797BD7985D44849BB7A54E30CBDAFD_13</vt:lpwstr>
  </property>
  <property fmtid="{D5CDD505-2E9C-101B-9397-08002B2CF9AE}" pid="4" name="KSOTemplateDocerSaveRecord">
    <vt:lpwstr>eyJoZGlkIjoiYzM4NjJmZWNmMTA5NzYwNDk1MTAzMzBkMjJhZmYwNzgiLCJ1c2VySWQiOiI3OTQxNDQ2In0=</vt:lpwstr>
  </property>
</Properties>
</file>