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6B9F1A">
      <w:pPr>
        <w:pageBreakBefore/>
        <w:rPr>
          <w:rFonts w:hint="eastAsia"/>
          <w:b/>
          <w:sz w:val="28"/>
          <w:szCs w:val="28"/>
        </w:rPr>
      </w:pPr>
      <w:r>
        <w:rPr>
          <w:rFonts w:hint="eastAsia"/>
          <w:b/>
          <w:sz w:val="28"/>
          <w:szCs w:val="28"/>
        </w:rPr>
        <w:t>附件2：</w:t>
      </w:r>
    </w:p>
    <w:p w14:paraId="61C39AB6">
      <w:pPr>
        <w:spacing w:line="500" w:lineRule="exact"/>
        <w:ind w:firstLine="720" w:firstLineChars="200"/>
        <w:jc w:val="center"/>
        <w:rPr>
          <w:rFonts w:hint="eastAsia" w:asciiTheme="minorEastAsia" w:hAnsiTheme="minorEastAsia"/>
          <w:b/>
          <w:bCs/>
          <w:sz w:val="36"/>
          <w:szCs w:val="36"/>
        </w:rPr>
      </w:pPr>
      <w:r>
        <w:rPr>
          <w:rFonts w:hint="eastAsia" w:asciiTheme="minorEastAsia" w:hAnsiTheme="minorEastAsia"/>
          <w:b/>
          <w:bCs/>
          <w:sz w:val="36"/>
          <w:szCs w:val="36"/>
        </w:rPr>
        <w:t>BAU China国际建筑科技博览会2025</w:t>
      </w:r>
    </w:p>
    <w:p w14:paraId="28131208">
      <w:pPr>
        <w:spacing w:line="500" w:lineRule="exact"/>
        <w:ind w:firstLine="720" w:firstLineChars="200"/>
        <w:jc w:val="center"/>
        <w:rPr>
          <w:rFonts w:hint="eastAsia" w:asciiTheme="minorEastAsia" w:hAnsiTheme="minorEastAsia"/>
          <w:b/>
          <w:bCs/>
          <w:sz w:val="36"/>
          <w:szCs w:val="36"/>
        </w:rPr>
      </w:pPr>
      <w:r>
        <w:rPr>
          <w:rFonts w:hint="eastAsia" w:asciiTheme="minorEastAsia" w:hAnsiTheme="minorEastAsia"/>
          <w:b/>
          <w:bCs/>
          <w:sz w:val="36"/>
          <w:szCs w:val="36"/>
        </w:rPr>
        <w:t>主要展览及同期活动</w:t>
      </w:r>
    </w:p>
    <w:p w14:paraId="7EA7958B">
      <w:pPr>
        <w:spacing w:line="500" w:lineRule="exact"/>
        <w:ind w:left="0" w:leftChars="0" w:firstLine="0" w:firstLineChars="0"/>
        <w:rPr>
          <w:rFonts w:hint="eastAsia" w:asciiTheme="minorEastAsia" w:hAnsiTheme="minorEastAsia"/>
          <w:b/>
          <w:bCs/>
          <w:sz w:val="28"/>
          <w:szCs w:val="28"/>
        </w:rPr>
      </w:pPr>
      <w:r>
        <w:rPr>
          <w:rFonts w:hint="eastAsia" w:asciiTheme="minorEastAsia" w:hAnsiTheme="minorEastAsia"/>
          <w:b/>
          <w:bCs/>
          <w:sz w:val="28"/>
          <w:szCs w:val="28"/>
        </w:rPr>
        <w:t>博览会基本情况</w:t>
      </w:r>
    </w:p>
    <w:p w14:paraId="7E20F120">
      <w:pPr>
        <w:spacing w:line="500" w:lineRule="exact"/>
        <w:ind w:left="0" w:leftChars="0" w:firstLine="0" w:firstLineChars="0"/>
        <w:rPr>
          <w:rFonts w:hint="eastAsia" w:asciiTheme="minorEastAsia" w:hAnsiTheme="minorEastAsia"/>
          <w:sz w:val="28"/>
          <w:szCs w:val="28"/>
        </w:rPr>
      </w:pPr>
      <w:r>
        <w:rPr>
          <w:rFonts w:hint="eastAsia" w:asciiTheme="minorEastAsia" w:hAnsiTheme="minorEastAsia"/>
          <w:b/>
          <w:bCs/>
          <w:sz w:val="28"/>
          <w:szCs w:val="28"/>
        </w:rPr>
        <w:t>博览会名称：</w:t>
      </w:r>
      <w:r>
        <w:rPr>
          <w:rFonts w:hint="eastAsia" w:asciiTheme="minorEastAsia" w:hAnsiTheme="minorEastAsia"/>
          <w:sz w:val="28"/>
          <w:szCs w:val="28"/>
        </w:rPr>
        <w:t>BAU China国际建筑博览会</w:t>
      </w:r>
    </w:p>
    <w:p w14:paraId="50CF4DBD">
      <w:pPr>
        <w:spacing w:line="500" w:lineRule="exact"/>
        <w:ind w:left="0" w:leftChars="0" w:firstLine="0" w:firstLineChars="0"/>
        <w:rPr>
          <w:rFonts w:hint="eastAsia" w:asciiTheme="minorEastAsia" w:hAnsiTheme="minorEastAsia"/>
          <w:sz w:val="28"/>
          <w:szCs w:val="28"/>
        </w:rPr>
      </w:pPr>
      <w:r>
        <w:rPr>
          <w:rFonts w:hint="eastAsia" w:asciiTheme="minorEastAsia" w:hAnsiTheme="minorEastAsia"/>
          <w:b/>
          <w:bCs/>
          <w:sz w:val="28"/>
          <w:szCs w:val="28"/>
        </w:rPr>
        <w:t>时间：</w:t>
      </w:r>
      <w:r>
        <w:rPr>
          <w:rFonts w:hint="eastAsia" w:asciiTheme="minorEastAsia" w:hAnsiTheme="minorEastAsia"/>
          <w:sz w:val="28"/>
          <w:szCs w:val="28"/>
        </w:rPr>
        <w:t>2025年11月5-8日</w:t>
      </w:r>
    </w:p>
    <w:p w14:paraId="3BE621E7">
      <w:pPr>
        <w:spacing w:line="500" w:lineRule="exact"/>
        <w:ind w:left="0" w:leftChars="0" w:firstLine="0" w:firstLineChars="0"/>
        <w:rPr>
          <w:rFonts w:hint="eastAsia" w:asciiTheme="minorEastAsia" w:hAnsiTheme="minorEastAsia"/>
          <w:sz w:val="28"/>
          <w:szCs w:val="28"/>
        </w:rPr>
      </w:pPr>
      <w:r>
        <w:rPr>
          <w:rFonts w:hint="eastAsia" w:asciiTheme="minorEastAsia" w:hAnsiTheme="minorEastAsia"/>
          <w:b/>
          <w:bCs/>
          <w:sz w:val="28"/>
          <w:szCs w:val="28"/>
        </w:rPr>
        <w:t>地点：</w:t>
      </w:r>
      <w:r>
        <w:rPr>
          <w:rFonts w:hint="eastAsia" w:asciiTheme="minorEastAsia" w:hAnsiTheme="minorEastAsia"/>
          <w:sz w:val="28"/>
          <w:szCs w:val="28"/>
        </w:rPr>
        <w:t>上海新国际博览中心</w:t>
      </w:r>
    </w:p>
    <w:p w14:paraId="06AF7762">
      <w:pPr>
        <w:spacing w:line="500" w:lineRule="exact"/>
        <w:ind w:firstLine="560" w:firstLineChars="200"/>
        <w:rPr>
          <w:rFonts w:hint="eastAsia" w:asciiTheme="minorEastAsia" w:hAnsiTheme="minorEastAsia"/>
          <w:sz w:val="28"/>
          <w:szCs w:val="28"/>
        </w:rPr>
      </w:pPr>
    </w:p>
    <w:p w14:paraId="1483A3A0">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博览会亮点展区</w:t>
      </w:r>
    </w:p>
    <w:p w14:paraId="1928ED5F">
      <w:pPr>
        <w:spacing w:line="500" w:lineRule="exact"/>
        <w:ind w:firstLine="560" w:firstLineChars="200"/>
        <w:rPr>
          <w:rFonts w:hint="eastAsia" w:asciiTheme="minorEastAsia" w:hAnsiTheme="minorEastAsia"/>
          <w:b/>
          <w:bCs/>
          <w:sz w:val="28"/>
          <w:szCs w:val="28"/>
        </w:rPr>
      </w:pPr>
      <w:bookmarkStart w:id="0" w:name="_Hlk173849595"/>
      <w:bookmarkStart w:id="1" w:name="_Hlk173850047"/>
      <w:r>
        <w:rPr>
          <w:rFonts w:hint="eastAsia" w:asciiTheme="minorEastAsia" w:hAnsiTheme="minorEastAsia"/>
          <w:b/>
          <w:bCs/>
          <w:sz w:val="28"/>
          <w:szCs w:val="28"/>
        </w:rPr>
        <w:t>（一）、建筑设计主题特展</w:t>
      </w:r>
    </w:p>
    <w:p w14:paraId="52270A7C">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1、人居万象·好房子2.0主题展区</w:t>
      </w:r>
    </w:p>
    <w:p w14:paraId="3ECA20F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住房发展正从“量”向“质”跃迁，“好房子”建设升级为国家住房建设重要决策部署，住建部同步推动“四好建设”（好房子、好小区、好社区、好城区），多地密集发布技术导则，加速“好房子”标准与技术落地。响应国家“推动建设安全、舒适、绿色、智慧的好房子”要求，助推“好房子”建设理念进一步落地转化，2025年博览会特别设立“人居万象·好房子2.0”主题展区。</w:t>
      </w:r>
    </w:p>
    <w:p w14:paraId="76735498">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由全国工程勘察设计大师、中国建筑学会秘书长、中国建设科技集团首席专家李存东先生担任策展人。本次展览以建筑回应人民对美好生活的居住需求为背景，从建筑设计视角切入，串联建筑产业链，将不仅呈现“好房子”在安全、舒适、绿色、智慧维度上的新设计、新技术、新应用，更通过“全龄友好+产业链协同”的双轴驱动，呈现从“住有所居”到“住有美居”的变革路径。</w:t>
      </w:r>
    </w:p>
    <w:p w14:paraId="418143A1">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2、更新MIX城市更新主题展区</w:t>
      </w:r>
    </w:p>
    <w:p w14:paraId="170C4D6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响应国家城市更新战略，聚焦城市更新中多元化、多维度、精细化的整合问题，紧扣“技术×品质”双核逻辑。由中国建筑学会建筑改造和城市更新专业委员会、中国勘察设计协会城市更新分会、上海市建筑学会、上海市勘察设计行业协会总召集共同发起更新MIX城市更新主题展区。</w:t>
      </w:r>
    </w:p>
    <w:p w14:paraId="4E035BE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由同济大学建筑设计研究院(集团)有限公司领衔，长江学者、上海市工程勘察设计大师、集团总建筑师章明教授担任展区策展人。以设计师的专业视角为纽带，展览串联起技术供应商的创新成果、建造商的落地经验、运营商的长效思路，将构建一条完整的产业链全景叙事场景，为公众直观呈现城市更新过程中涌现的各类新技术手段，更进一步探讨如何通过产业打造与内容运营提升更新品质。</w:t>
      </w:r>
    </w:p>
    <w:p w14:paraId="71E9E982">
      <w:pPr>
        <w:spacing w:line="500" w:lineRule="exact"/>
        <w:ind w:firstLine="560" w:firstLineChars="200"/>
        <w:rPr>
          <w:rFonts w:hint="eastAsia" w:asciiTheme="minorEastAsia" w:hAnsiTheme="minorEastAsia"/>
          <w:sz w:val="28"/>
          <w:szCs w:val="28"/>
        </w:rPr>
      </w:pPr>
    </w:p>
    <w:p w14:paraId="35B027B3">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3、 “国际舞台上的光”香港建筑师学会主题展区</w:t>
      </w:r>
    </w:p>
    <w:p w14:paraId="41EFC11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由香港建筑师学会主办，将向大众介绍香港建筑师学会，呈现香港建筑师学会会员近年来本地及海外的优秀作品，同时展出最新的建筑设计技术应用作品，加深民众对香港建筑师学会的了解。展览中展示3个主题内容：香港建筑师学会在国际上的地位、影响；香港建筑师学会会员在国际上的尖端建筑科技标准的应用、以及展示海外的优秀作品。</w:t>
      </w:r>
    </w:p>
    <w:p w14:paraId="25CF58A3">
      <w:pPr>
        <w:spacing w:line="500" w:lineRule="exact"/>
        <w:ind w:firstLine="560" w:firstLineChars="200"/>
        <w:rPr>
          <w:rFonts w:hint="eastAsia" w:asciiTheme="minorEastAsia" w:hAnsiTheme="minorEastAsia"/>
          <w:sz w:val="28"/>
          <w:szCs w:val="28"/>
        </w:rPr>
      </w:pPr>
    </w:p>
    <w:p w14:paraId="1E88316B">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4、文体建筑展区</w:t>
      </w:r>
    </w:p>
    <w:p w14:paraId="69DCA54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由东南大学建筑设计研究院有限公司作为总召集单位，由江苏省设计大师、江苏省建筑与历史文化研究会文体场馆专委会主任委员、中国建筑学会体育分会理事、东南大学建筑设计研究院总建筑师高庆辉先生担任策展人。展区将通过联合国内知名的设计、建造与运营等单位的整体参与，系统性呈现当代文体场馆从策划、设计、建造到运营的全生命周期的可持续实践。以空间叙事激活城市精神，将作为最具代表城市公共生活之一的文化体育类公共空间转化为市民生活的精神图腾。</w:t>
      </w:r>
    </w:p>
    <w:p w14:paraId="50BE1CC4">
      <w:pPr>
        <w:spacing w:line="500" w:lineRule="exact"/>
        <w:ind w:firstLine="560" w:firstLineChars="200"/>
        <w:rPr>
          <w:rFonts w:hint="eastAsia" w:asciiTheme="minorEastAsia" w:hAnsiTheme="minorEastAsia"/>
          <w:sz w:val="28"/>
          <w:szCs w:val="28"/>
        </w:rPr>
      </w:pPr>
    </w:p>
    <w:p w14:paraId="286261F9">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（二）、BAU China2025创新IP展区</w:t>
      </w:r>
    </w:p>
    <w:p w14:paraId="61554DF8">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1、Façade LAB 20——幕墙20问主题展区</w:t>
      </w:r>
    </w:p>
    <w:p w14:paraId="209D0BF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由RFR亚洲董事于辉先生担任策展人，联合幕墙产业上下游行业同仁共同打造。通过“征集行业问题与解决方案”、“解决方案验证与现场展示”的模式，联合行业中知名建筑师、工程师和业主共同组成的学术小组视野与力量，共同推动幕墙设计的创新与发展，提升幕墙工程的整体品质与技术水平，为行业树立新的标杆。</w:t>
      </w:r>
    </w:p>
    <w:p w14:paraId="43E1F480">
      <w:pPr>
        <w:spacing w:line="500" w:lineRule="exact"/>
        <w:ind w:firstLine="560" w:firstLineChars="200"/>
        <w:rPr>
          <w:rFonts w:hint="eastAsia" w:asciiTheme="minorEastAsia" w:hAnsiTheme="minorEastAsia"/>
          <w:sz w:val="28"/>
          <w:szCs w:val="28"/>
        </w:rPr>
      </w:pPr>
    </w:p>
    <w:p w14:paraId="4E6DBB8D">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2、“第五立面·顶新计划”展区</w:t>
      </w:r>
    </w:p>
    <w:p w14:paraId="62C0DD0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由中冶建筑研究总院有限公司首席专家、中国建筑防水协会金属屋面技术分会秘书长、中国钢结构协会围护系统分会秘书长蔡昭昀女士，中国建筑西南设计研究院有限公司建筑幕墙设计所总工程师、中国建筑防水协会金属屋面技术分会副会长、中国钢结构协会围护系统分会副理事长董彪先生，北京北建大建筑设计研究院有限公司结构总工程师、中国建筑防水协会金属屋面技术分会专家、中国钢结构协会围护系统分会副理事长朱勇军先生担任联合策展人，从建筑设计、屋面设计、屋面技术三个维度，对展区进行全方位、深层次的策划。联合建设方、设计院、施工方、材料商，多维度还原优秀项目从设计到落地的全流程，凸显系统化、低碳化、智能化的行业标杆。</w:t>
      </w:r>
    </w:p>
    <w:p w14:paraId="1BEC0FFD">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3、Hosbuild+医养建设创新科技展区</w:t>
      </w:r>
    </w:p>
    <w:p w14:paraId="4A2E2A7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由全国卫生产业企业管理协会绿色医疗建筑建材分会主办，由全国卫生产业企业管理协会绿色医疗建筑建材分会会长安建伟先生担任策展人，中绿筑医绿色医建设计师专委会主委、德国尼克建筑设计集团中国区CEO杨建先生担任执行策展人。展区聚焦医疗康养建设核心场景，整合产业链上下游资源，推动医院建设方、建筑师、解决方案商突破固有模式。通过引入国际先进理念与技术，展区不仅为医养产业革新注入核心动力，更致力于再真实场景中重构医疗康养建设价值链，树立行业全新标杆，助力医养行业在新时代实现跨越式发展。</w:t>
      </w:r>
    </w:p>
    <w:p w14:paraId="681FCAA1">
      <w:pPr>
        <w:spacing w:line="500" w:lineRule="exact"/>
        <w:ind w:firstLine="560" w:firstLineChars="200"/>
        <w:rPr>
          <w:rFonts w:hint="eastAsia" w:asciiTheme="minorEastAsia" w:hAnsiTheme="minorEastAsia"/>
          <w:sz w:val="28"/>
          <w:szCs w:val="28"/>
        </w:rPr>
      </w:pPr>
    </w:p>
    <w:p w14:paraId="26AD738F">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（三）创新材料及解决方案展区</w:t>
      </w:r>
    </w:p>
    <w:p w14:paraId="410C48E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展区汇聚了国内外领先的新型建筑材料和解决方案企业，以场景化、体验式的方式为建筑师提供多样化的高质量建筑解决方案及产品。BAU China2025延续了往届高品质的建筑技术呈现，围绕建筑师关注的多个主题设立专区。如: 金属复合材料及解决方案展区、绿之星·全球低碳材料创新展区、建筑光伏一体化展区等。</w:t>
      </w:r>
    </w:p>
    <w:p w14:paraId="60790725">
      <w:pPr>
        <w:spacing w:line="500" w:lineRule="exact"/>
        <w:ind w:firstLine="560" w:firstLineChars="200"/>
        <w:rPr>
          <w:rFonts w:hint="eastAsia" w:asciiTheme="minorEastAsia" w:hAnsiTheme="minorEastAsia"/>
          <w:sz w:val="28"/>
          <w:szCs w:val="28"/>
        </w:rPr>
      </w:pPr>
    </w:p>
    <w:p w14:paraId="0F56C81A">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三、博览会同期相关活动</w:t>
      </w:r>
    </w:p>
    <w:p w14:paraId="0F4747AB">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1、全联房地产商会年会</w:t>
      </w:r>
    </w:p>
    <w:p w14:paraId="3C9523C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全联房地产商会年会是“中国地产界的行业领袖峰会”，在历届年会中，邀请到政府机构、规划与政策、地产领袖及行业精英进行前沿趋势与案例拆解的全面分享，除此外，也是地产界覆盖全国范围最广的全行业代表大会，以行业引领性、权威性、高端性而闻名于业界。本届年会上将着重探讨政策趋势、出海案例、智能化发展等热点话题，共建未来美好建筑。</w:t>
      </w:r>
    </w:p>
    <w:p w14:paraId="08A21276">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2、BCC国际建筑科技大会</w:t>
      </w:r>
    </w:p>
    <w:p w14:paraId="4CAAFA9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BAU CONGRESS CHINA，BCC国际建筑科技大会由全球知名的德国建筑杂志《建筑世界》（Bauwelt）与BAU China国际建筑科技博览会共同主办。定位于“交流全球先进的建筑理念和案例”。成立以来邀请来自全球几十个国家的近250位全球顶尖的设计大师齐聚在此进行最新建筑理念的碰撞和探讨，本届大会以"变革即机遇”核心主题，研讨城市更新、零碳建筑、公共空间、社区营建、AI科技与设计等热点议题，为中国建筑业面临的诸多问题提供全新思路。</w:t>
      </w:r>
    </w:p>
    <w:p w14:paraId="565BE511">
      <w:pPr>
        <w:spacing w:line="500" w:lineRule="exact"/>
        <w:ind w:firstLine="560" w:firstLineChars="200"/>
        <w:rPr>
          <w:rFonts w:hint="eastAsia" w:asciiTheme="minorEastAsia" w:hAnsiTheme="minorEastAsia"/>
          <w:sz w:val="28"/>
          <w:szCs w:val="28"/>
        </w:rPr>
      </w:pPr>
    </w:p>
    <w:p w14:paraId="1E6FAD3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除此外，将有20余场聚焦行业前沿趋势及政策标准、建筑系统解决方案、场景案例分享等建筑师主题沙龙。邀请院士、大师、行业专家分享最先进的创作理念及案例应用。促进中青年建筑师设计思维碰撞交流，从灵感启发到设计思维，从经典项目案例欣赏到难点问题剖析，从建筑系统解决方案到建筑新材料与新技术，覆盖整个建筑生命周期，为建筑设计师提供全面性、系统性的学习交流平台。</w:t>
      </w:r>
    </w:p>
    <w:p w14:paraId="3D541FD8">
      <w:pPr>
        <w:spacing w:line="500" w:lineRule="exact"/>
        <w:ind w:firstLine="560" w:firstLineChars="200"/>
        <w:rPr>
          <w:rFonts w:hint="eastAsia" w:asciiTheme="minorEastAsia" w:hAnsiTheme="minorEastAsia"/>
          <w:sz w:val="28"/>
          <w:szCs w:val="28"/>
        </w:rPr>
      </w:pPr>
    </w:p>
    <w:p w14:paraId="5F5682A6">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四、同期展览</w:t>
      </w:r>
    </w:p>
    <w:p w14:paraId="14DF0AB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BAU China国际建筑科技博览会将与CADE建筑设计博览会、FBC中国国际门窗幕墙博览会、中国国际屋面和建筑防水技术展览会同期同地举办，预计将共同吸引超190,000位来自地产开发、建筑设计、工程建造、建筑系统方案及材料、部品供应等各建筑产业环节的专业观众，联通行业上下游、实现建筑设计与房地产领域及建筑科技的交流互动，共同促进建筑行业“产、学、研”全面协同、行业高质量发展。</w:t>
      </w:r>
    </w:p>
    <w:p w14:paraId="4BAA3A30">
      <w:pPr>
        <w:spacing w:line="500" w:lineRule="exact"/>
        <w:ind w:firstLine="560" w:firstLineChars="200"/>
        <w:rPr>
          <w:rFonts w:hint="eastAsia" w:asciiTheme="minorEastAsia" w:hAnsiTheme="minorEastAsia"/>
          <w:sz w:val="28"/>
          <w:szCs w:val="28"/>
        </w:rPr>
      </w:pPr>
    </w:p>
    <w:p w14:paraId="5C871003">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五、博览会策展人、演讲嘉宾、观众（拟邀部分）</w:t>
      </w:r>
    </w:p>
    <w:p w14:paraId="447E355B">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地产及业主</w:t>
      </w:r>
    </w:p>
    <w:p w14:paraId="38D1BDF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宝能控股</w:t>
      </w:r>
    </w:p>
    <w:p w14:paraId="6171D218">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宝业集团上海公司</w:t>
      </w:r>
    </w:p>
    <w:p w14:paraId="6695DE5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保利集团</w:t>
      </w:r>
    </w:p>
    <w:p w14:paraId="1E7FF14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北京房地集团</w:t>
      </w:r>
    </w:p>
    <w:p w14:paraId="2D58B8D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北京兴创置地房地产开发有限公司</w:t>
      </w:r>
    </w:p>
    <w:p w14:paraId="3FB7EDD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北京兆泰集团</w:t>
      </w:r>
    </w:p>
    <w:p w14:paraId="0E2C33DD">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复旦大学附属华东医院总务处</w:t>
      </w:r>
    </w:p>
    <w:p w14:paraId="50CE683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海尔集团</w:t>
      </w:r>
    </w:p>
    <w:p w14:paraId="198027E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海泰地产</w:t>
      </w:r>
    </w:p>
    <w:p w14:paraId="64866A7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合生创展集团有限公司</w:t>
      </w:r>
    </w:p>
    <w:p w14:paraId="13AED92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建发房地产集团</w:t>
      </w:r>
    </w:p>
    <w:p w14:paraId="35CE88E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江苏南通三建集团股份有限公司</w:t>
      </w:r>
    </w:p>
    <w:p w14:paraId="4F672C4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江苏省妇幼保健院基建处</w:t>
      </w:r>
    </w:p>
    <w:p w14:paraId="4419C31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江苏省人民医院总务处（基建处）</w:t>
      </w:r>
    </w:p>
    <w:p w14:paraId="2B5EC89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江苏新城地产股份有限公司</w:t>
      </w:r>
    </w:p>
    <w:p w14:paraId="6E41096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解放军总医院第七医学中心建设办公室</w:t>
      </w:r>
    </w:p>
    <w:p w14:paraId="5012FDD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金地(集团)股份有限公司</w:t>
      </w:r>
    </w:p>
    <w:p w14:paraId="03A06B1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金融街（上海）投资有限公司</w:t>
      </w:r>
    </w:p>
    <w:p w14:paraId="3C38DFE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绿城中国</w:t>
      </w:r>
    </w:p>
    <w:p w14:paraId="6CF210C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绿地集团</w:t>
      </w:r>
    </w:p>
    <w:p w14:paraId="1D7BAD0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美的集团</w:t>
      </w:r>
    </w:p>
    <w:p w14:paraId="2CA947C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山东省卫生健康委规划与信息化处</w:t>
      </w:r>
    </w:p>
    <w:p w14:paraId="753432AD">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上海地产</w:t>
      </w:r>
    </w:p>
    <w:p w14:paraId="6E890151">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上海浦东新区房地产（集团）有限公司</w:t>
      </w:r>
    </w:p>
    <w:p w14:paraId="190484FA">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上海市第六人民医院基建办</w:t>
      </w:r>
    </w:p>
    <w:p w14:paraId="5D6E2AB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上海市第十人民医院基建处</w:t>
      </w:r>
    </w:p>
    <w:p w14:paraId="666A45D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上海市卫生健康委员会财务处</w:t>
      </w:r>
    </w:p>
    <w:p w14:paraId="16051C6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上海市中医医院基建处</w:t>
      </w:r>
    </w:p>
    <w:p w14:paraId="5D1F34B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深圳市前海开发投资控股有限公司</w:t>
      </w:r>
    </w:p>
    <w:p w14:paraId="1137460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深圳市特区建发投资发展有限公司</w:t>
      </w:r>
    </w:p>
    <w:p w14:paraId="108533D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同济大学附属同济医院基建处</w:t>
      </w:r>
    </w:p>
    <w:p w14:paraId="6122574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中国能源建设股份有限公司</w:t>
      </w:r>
    </w:p>
    <w:p w14:paraId="7D7C3ED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中国铁建房地产集团有限公司</w:t>
      </w:r>
    </w:p>
    <w:p w14:paraId="61AAD6C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中海地产集团有限公司</w:t>
      </w:r>
    </w:p>
    <w:p w14:paraId="71FE72E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建筑设计</w:t>
      </w:r>
    </w:p>
    <w:p w14:paraId="498ABCE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《建筑世界》杂志</w:t>
      </w:r>
    </w:p>
    <w:p w14:paraId="6A7D60D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《世界建筑》杂志</w:t>
      </w:r>
    </w:p>
    <w:p w14:paraId="66F965D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 xml:space="preserve">Aedas </w:t>
      </w:r>
    </w:p>
    <w:p w14:paraId="08C57A8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Allies and Morrison建筑师事务所</w:t>
      </w:r>
    </w:p>
    <w:p w14:paraId="1AFA12BD">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ASPECT</w:t>
      </w:r>
    </w:p>
    <w:p w14:paraId="06ADAF0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BENOY</w:t>
      </w:r>
    </w:p>
    <w:p w14:paraId="501FAB1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BUZZ/Büro Ziyu Zhuang建筑工作室</w:t>
      </w:r>
    </w:p>
    <w:p w14:paraId="69F3FA4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 xml:space="preserve">Crossboundaries </w:t>
      </w:r>
    </w:p>
    <w:p w14:paraId="4FD677D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Dushe Design</w:t>
      </w:r>
    </w:p>
    <w:p w14:paraId="71BFAC4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ennead建筑设计事务所</w:t>
      </w:r>
    </w:p>
    <w:p w14:paraId="6141C6D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FOSTER+PARNTER</w:t>
      </w:r>
    </w:p>
    <w:p w14:paraId="3376CB7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 xml:space="preserve">Foster+Partners </w:t>
      </w:r>
    </w:p>
    <w:p w14:paraId="6F67D95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GP建筑设计有限公司</w:t>
      </w:r>
    </w:p>
    <w:p w14:paraId="7E099AE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Heatherwick Studio</w:t>
      </w:r>
    </w:p>
    <w:p w14:paraId="5189321D">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 xml:space="preserve">Heatherwick studio </w:t>
      </w:r>
    </w:p>
    <w:p w14:paraId="17546F6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KPF</w:t>
      </w:r>
    </w:p>
    <w:p w14:paraId="1D42BFB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line+</w:t>
      </w:r>
    </w:p>
    <w:p w14:paraId="24C1047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MAD建筑事务所</w:t>
      </w:r>
    </w:p>
    <w:p w14:paraId="1BD59CF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Morphosis建筑事务所</w:t>
      </w:r>
    </w:p>
    <w:p w14:paraId="6CF408C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MVRDV</w:t>
      </w:r>
    </w:p>
    <w:p w14:paraId="69025C1D">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PC&amp;P 佩里克拉克建筑师事务所</w:t>
      </w:r>
    </w:p>
    <w:p w14:paraId="1A94B4D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Perkins&amp;Will建筑事务所</w:t>
      </w:r>
    </w:p>
    <w:p w14:paraId="55EAF3C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PILLS工作室</w:t>
      </w:r>
    </w:p>
    <w:p w14:paraId="3195DD7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SOM</w:t>
      </w:r>
    </w:p>
    <w:p w14:paraId="5D5D504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SUP素朴建筑工作室</w:t>
      </w:r>
    </w:p>
    <w:p w14:paraId="5FDE9DC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UNStudios荷兰联合工作室</w:t>
      </w:r>
    </w:p>
    <w:p w14:paraId="7A577BC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阿法亚洲执行董事</w:t>
      </w:r>
    </w:p>
    <w:p w14:paraId="0935ADF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奥雷舍人事务所</w:t>
      </w:r>
    </w:p>
    <w:p w14:paraId="6B5F7049">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北京北建大建筑设计研究院有限公司</w:t>
      </w:r>
    </w:p>
    <w:p w14:paraId="47638A0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北京交大建筑勘察设计院</w:t>
      </w:r>
    </w:p>
    <w:p w14:paraId="50B2B21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北京市建筑设计研究院股份有限公司</w:t>
      </w:r>
    </w:p>
    <w:p w14:paraId="7265FE41">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北京市建筑设计研究院有限公司</w:t>
      </w:r>
    </w:p>
    <w:p w14:paraId="4DD7F9C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大都会建筑事务所</w:t>
      </w:r>
    </w:p>
    <w:p w14:paraId="71960C0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丹麦SLA景观事务所</w:t>
      </w:r>
    </w:p>
    <w:p w14:paraId="24574B7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德国gmp国际建筑设计有限公司</w:t>
      </w:r>
    </w:p>
    <w:p w14:paraId="43F8056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德国可持续建筑委员会（DGNB）</w:t>
      </w:r>
    </w:p>
    <w:p w14:paraId="1CF4181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丁一巨景观设计事务所</w:t>
      </w:r>
    </w:p>
    <w:p w14:paraId="5B4CCB6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非常建筑，香港大学建筑学院</w:t>
      </w:r>
    </w:p>
    <w:p w14:paraId="2C23E5D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高田浩一建筑事务所</w:t>
      </w:r>
    </w:p>
    <w:p w14:paraId="7836390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广东省建筑设计研究院集团股份有限公司</w:t>
      </w:r>
    </w:p>
    <w:p w14:paraId="5335E6E1">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华东建筑设计院</w:t>
      </w:r>
    </w:p>
    <w:p w14:paraId="55E727F8">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华建集团上海建筑设计研究院有限公司</w:t>
      </w:r>
    </w:p>
    <w:p w14:paraId="1FF533F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尼克及合伙人建筑设计公司</w:t>
      </w:r>
    </w:p>
    <w:p w14:paraId="1CD6EFD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 xml:space="preserve">清华大学建筑学院建筑与技术研究所  </w:t>
      </w:r>
    </w:p>
    <w:p w14:paraId="7CBB903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让·努维尔事务所</w:t>
      </w:r>
    </w:p>
    <w:p w14:paraId="4297DBD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上海建筑科学研究院有限公司</w:t>
      </w:r>
    </w:p>
    <w:p w14:paraId="56DA269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上海建筑师协会设计分会</w:t>
      </w:r>
    </w:p>
    <w:p w14:paraId="0A084ED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同济大学建筑与城市规划学院</w:t>
      </w:r>
    </w:p>
    <w:p w14:paraId="7BC681D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同济大学建筑与城市规划学院</w:t>
      </w:r>
    </w:p>
    <w:p w14:paraId="096F5A11">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中国电子工程设计院有限公司</w:t>
      </w:r>
    </w:p>
    <w:p w14:paraId="0FDEEC8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中国航空规划设计研究总院有限公司</w:t>
      </w:r>
    </w:p>
    <w:p w14:paraId="7625EE2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中国建筑设计研究院</w:t>
      </w:r>
    </w:p>
    <w:p w14:paraId="282D736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中国建筑西北设计研究院有限公司</w:t>
      </w:r>
    </w:p>
    <w:p w14:paraId="72B21E2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中建西南设计研究院</w:t>
      </w:r>
    </w:p>
    <w:p w14:paraId="363B73D1">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中南建筑设计院股份有限公司</w:t>
      </w:r>
    </w:p>
    <w:p w14:paraId="21D6F4DD">
      <w:pPr>
        <w:spacing w:line="500" w:lineRule="exact"/>
        <w:ind w:firstLine="560" w:firstLineChars="200"/>
        <w:rPr>
          <w:rFonts w:hint="eastAsia" w:asciiTheme="minorEastAsia" w:hAnsiTheme="minorEastAsia"/>
          <w:sz w:val="28"/>
          <w:szCs w:val="28"/>
        </w:rPr>
      </w:pPr>
    </w:p>
    <w:p w14:paraId="4E7C9741">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工程总包</w:t>
      </w:r>
    </w:p>
    <w:p w14:paraId="1CC371B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安徽三建工程有限公司</w:t>
      </w:r>
    </w:p>
    <w:p w14:paraId="10EDDF1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北京建工</w:t>
      </w:r>
    </w:p>
    <w:p w14:paraId="1094EB0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成都建设集团</w:t>
      </w:r>
    </w:p>
    <w:p w14:paraId="3C09F5D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甘肃第八建设集团有限责任公司</w:t>
      </w:r>
    </w:p>
    <w:p w14:paraId="652901B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甘肃第四建设集团有限公司</w:t>
      </w:r>
    </w:p>
    <w:p w14:paraId="71337D5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高创建工股份有限公司</w:t>
      </w:r>
    </w:p>
    <w:p w14:paraId="5F5BF40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广东六建</w:t>
      </w:r>
    </w:p>
    <w:p w14:paraId="65AD9BC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广东正业建设有限公司</w:t>
      </w:r>
    </w:p>
    <w:p w14:paraId="503D854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航工建设北京有限公司</w:t>
      </w:r>
    </w:p>
    <w:p w14:paraId="632E8473">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河北建工集团</w:t>
      </w:r>
    </w:p>
    <w:p w14:paraId="0A9C2E8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河南省第二建设集团有限公司</w:t>
      </w:r>
    </w:p>
    <w:p w14:paraId="24B2E451">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菏泽兴业建工股份有限公司</w:t>
      </w:r>
    </w:p>
    <w:p w14:paraId="7DEDAC0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湖南建工</w:t>
      </w:r>
    </w:p>
    <w:p w14:paraId="21ED4FA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江苏建设</w:t>
      </w:r>
    </w:p>
    <w:p w14:paraId="28157BA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江苏南通二建集团有限公司</w:t>
      </w:r>
    </w:p>
    <w:p w14:paraId="5B369D0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江苏武进建工集团有限公司</w:t>
      </w:r>
    </w:p>
    <w:p w14:paraId="5932CEB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深圳市大地幕墙科技有限公司</w:t>
      </w:r>
    </w:p>
    <w:p w14:paraId="0D310CAA">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深圳市方大建科集团有限公司</w:t>
      </w:r>
    </w:p>
    <w:p w14:paraId="2DBF827E">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深圳市前海海韬建设科技工程有限公司</w:t>
      </w:r>
    </w:p>
    <w:p w14:paraId="26FDE01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深圳市三鑫科技发展有限公司</w:t>
      </w:r>
    </w:p>
    <w:p w14:paraId="748B5ED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深圳市深装装饰工程有限公司</w:t>
      </w:r>
    </w:p>
    <w:p w14:paraId="21C1978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深圳市中深装建设集团有限公司</w:t>
      </w:r>
    </w:p>
    <w:p w14:paraId="1ADEC5A0">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中建八局</w:t>
      </w:r>
    </w:p>
    <w:p w14:paraId="6F504BB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中建地产</w:t>
      </w:r>
    </w:p>
    <w:p w14:paraId="767574F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中建二局</w:t>
      </w:r>
    </w:p>
    <w:p w14:paraId="1315C8BB">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中建国际</w:t>
      </w:r>
    </w:p>
    <w:p w14:paraId="45C2780A">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中建科创</w:t>
      </w:r>
    </w:p>
    <w:p w14:paraId="5083E3C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中建科工集团有限公司</w:t>
      </w:r>
    </w:p>
    <w:p w14:paraId="6EC5784B">
      <w:pPr>
        <w:spacing w:line="500" w:lineRule="exact"/>
        <w:ind w:firstLine="560" w:firstLineChars="200"/>
        <w:rPr>
          <w:rFonts w:hint="eastAsia" w:asciiTheme="minorEastAsia" w:hAnsiTheme="minorEastAsia"/>
          <w:sz w:val="28"/>
          <w:szCs w:val="28"/>
        </w:rPr>
      </w:pPr>
    </w:p>
    <w:p w14:paraId="28A4C7E3">
      <w:pPr>
        <w:spacing w:line="500" w:lineRule="exact"/>
        <w:ind w:firstLine="560" w:firstLineChars="200"/>
        <w:rPr>
          <w:rFonts w:hint="eastAsia" w:asciiTheme="minorEastAsia" w:hAnsiTheme="minorEastAsia"/>
          <w:b/>
          <w:bCs/>
          <w:sz w:val="28"/>
          <w:szCs w:val="28"/>
        </w:rPr>
      </w:pPr>
      <w:r>
        <w:rPr>
          <w:rFonts w:hint="eastAsia" w:asciiTheme="minorEastAsia" w:hAnsiTheme="minorEastAsia"/>
          <w:b/>
          <w:bCs/>
          <w:sz w:val="28"/>
          <w:szCs w:val="28"/>
        </w:rPr>
        <w:t>技术专家</w:t>
      </w:r>
    </w:p>
    <w:tbl>
      <w:tblPr>
        <w:tblStyle w:val="16"/>
        <w:tblW w:w="878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784"/>
      </w:tblGrid>
      <w:tr w14:paraId="16C6A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784" w:type="dxa"/>
          </w:tcPr>
          <w:p w14:paraId="5495260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BRE英国建筑研究院</w:t>
            </w:r>
          </w:p>
          <w:p w14:paraId="78DFECB2">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北京工业大学</w:t>
            </w:r>
          </w:p>
          <w:p w14:paraId="41885DED">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北京绿色交易所有限公司绿色发展中心</w:t>
            </w:r>
          </w:p>
          <w:p w14:paraId="2788314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北京生态人居环境研究院</w:t>
            </w:r>
          </w:p>
          <w:p w14:paraId="2ED74504">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工信部国际经济技术核心合作能源资源环境研究所</w:t>
            </w:r>
          </w:p>
          <w:p w14:paraId="137F643A">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国检集团</w:t>
            </w:r>
          </w:p>
          <w:p w14:paraId="1934BA46">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绿色建材认证技术委员会</w:t>
            </w:r>
          </w:p>
          <w:p w14:paraId="16DAC18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清华大学</w:t>
            </w:r>
          </w:p>
          <w:p w14:paraId="61405247">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全球人居环境论坛</w:t>
            </w:r>
          </w:p>
          <w:p w14:paraId="7BA16AFF">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同济大学</w:t>
            </w:r>
          </w:p>
          <w:p w14:paraId="7A92A67A">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夏热冬冷地区绿色建材技术委员</w:t>
            </w:r>
          </w:p>
          <w:p w14:paraId="6709A19C">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英国零碳工场（ZFD Factory）</w:t>
            </w:r>
          </w:p>
          <w:p w14:paraId="7789D148">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中国建筑节能协会</w:t>
            </w:r>
          </w:p>
          <w:p w14:paraId="7D2EC1C5">
            <w:pPr>
              <w:spacing w:line="500" w:lineRule="exact"/>
              <w:ind w:firstLine="560" w:firstLineChars="200"/>
              <w:rPr>
                <w:rFonts w:hint="eastAsia" w:asciiTheme="minorEastAsia" w:hAnsiTheme="minorEastAsia"/>
                <w:sz w:val="28"/>
                <w:szCs w:val="28"/>
              </w:rPr>
            </w:pPr>
            <w:r>
              <w:rPr>
                <w:rFonts w:hint="eastAsia" w:asciiTheme="minorEastAsia" w:hAnsiTheme="minorEastAsia"/>
                <w:sz w:val="28"/>
                <w:szCs w:val="28"/>
              </w:rPr>
              <w:t>中国可再生能源学会</w:t>
            </w:r>
          </w:p>
          <w:p w14:paraId="05CCA445">
            <w:pPr>
              <w:spacing w:line="500" w:lineRule="exact"/>
              <w:ind w:firstLine="560" w:firstLineChars="200"/>
              <w:rPr>
                <w:rFonts w:hint="eastAsia" w:asciiTheme="minorEastAsia" w:hAnsiTheme="minorEastAsia"/>
                <w:sz w:val="28"/>
                <w:szCs w:val="28"/>
              </w:rPr>
            </w:pPr>
          </w:p>
        </w:tc>
      </w:tr>
    </w:tbl>
    <w:p w14:paraId="66F1FF64">
      <w:pPr>
        <w:spacing w:line="500" w:lineRule="exact"/>
        <w:ind w:firstLine="560" w:firstLineChars="200"/>
        <w:rPr>
          <w:rFonts w:hint="eastAsia" w:asciiTheme="minorEastAsia" w:hAnsiTheme="minorEastAsia"/>
          <w:sz w:val="28"/>
          <w:szCs w:val="28"/>
        </w:rPr>
        <w:sectPr>
          <w:footerReference r:id="rId5" w:type="default"/>
          <w:pgSz w:w="11906" w:h="16838"/>
          <w:pgMar w:top="1418" w:right="1474" w:bottom="1418" w:left="1588" w:header="851" w:footer="992" w:gutter="0"/>
          <w:cols w:space="720" w:num="1"/>
          <w:docGrid w:type="linesAndChars" w:linePitch="326" w:charSpace="0"/>
        </w:sectPr>
      </w:pPr>
      <w:r>
        <w:rPr>
          <w:rFonts w:hint="eastAsia" w:asciiTheme="minorEastAsia" w:hAnsiTheme="minorEastAsia"/>
          <w:sz w:val="28"/>
          <w:szCs w:val="28"/>
        </w:rPr>
        <w:t>*以上排名按照首字母排序，实际以现场为准</w:t>
      </w:r>
    </w:p>
    <w:bookmarkEnd w:id="0"/>
    <w:bookmarkEnd w:id="1"/>
    <w:p w14:paraId="02FF133E">
      <w:pPr>
        <w:rPr>
          <w:rFonts w:hint="eastAsia" w:asciiTheme="minorEastAsia" w:hAnsiTheme="minorEastAsia"/>
          <w:sz w:val="28"/>
          <w:szCs w:val="28"/>
        </w:rPr>
      </w:pPr>
      <w:bookmarkStart w:id="2" w:name="_GoBack"/>
      <w:bookmarkEnd w:id="2"/>
    </w:p>
    <w:sectPr>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31565967"/>
      <w:docPartObj>
        <w:docPartGallery w:val="AutoText"/>
      </w:docPartObj>
    </w:sdtPr>
    <w:sdtContent>
      <w:p w14:paraId="14CE7EF1">
        <w:pPr>
          <w:pStyle w:val="11"/>
          <w:jc w:val="center"/>
          <w:rPr>
            <w:rFonts w:hint="eastAsia"/>
          </w:rPr>
        </w:pPr>
        <w:r>
          <w:fldChar w:fldCharType="begin"/>
        </w:r>
        <w:r>
          <w:instrText xml:space="preserve">PAGE   \* MERGEFORMAT</w:instrText>
        </w:r>
        <w:r>
          <w:fldChar w:fldCharType="separate"/>
        </w:r>
        <w:r>
          <w:rPr>
            <w:lang w:val="zh-CN"/>
          </w:rPr>
          <w:t>2</w:t>
        </w:r>
        <w:r>
          <w:fldChar w:fldCharType="end"/>
        </w:r>
      </w:p>
    </w:sdtContent>
  </w:sdt>
  <w:p w14:paraId="56E5A304">
    <w:pPr>
      <w:pStyle w:val="11"/>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9CAE9">
    <w:pPr>
      <w:pStyle w:val="11"/>
      <w:jc w:val="center"/>
      <w:rPr>
        <w:rFonts w:hint="eastAsia"/>
      </w:rPr>
    </w:pPr>
    <w:r>
      <w:fldChar w:fldCharType="begin"/>
    </w:r>
    <w:r>
      <w:instrText xml:space="preserve">PAGE   \* MERGEFORMAT</w:instrText>
    </w:r>
    <w:r>
      <w:fldChar w:fldCharType="separate"/>
    </w:r>
    <w:r>
      <w:rPr>
        <w:lang w:val="zh-CN"/>
      </w:rPr>
      <w:t>6</w:t>
    </w:r>
    <w:r>
      <w:fldChar w:fldCharType="end"/>
    </w:r>
  </w:p>
  <w:p w14:paraId="7D4A1758">
    <w:pPr>
      <w:pStyle w:val="11"/>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16CC"/>
    <w:rsid w:val="0001626B"/>
    <w:rsid w:val="00022209"/>
    <w:rsid w:val="00025962"/>
    <w:rsid w:val="00032B71"/>
    <w:rsid w:val="00043AA2"/>
    <w:rsid w:val="000A0030"/>
    <w:rsid w:val="000C0C8F"/>
    <w:rsid w:val="000D6314"/>
    <w:rsid w:val="000E33A9"/>
    <w:rsid w:val="00105963"/>
    <w:rsid w:val="001144A9"/>
    <w:rsid w:val="001653F5"/>
    <w:rsid w:val="00190FD7"/>
    <w:rsid w:val="001A3DD2"/>
    <w:rsid w:val="001B1454"/>
    <w:rsid w:val="001C33B1"/>
    <w:rsid w:val="001C699D"/>
    <w:rsid w:val="001D126C"/>
    <w:rsid w:val="001D5A37"/>
    <w:rsid w:val="001F173A"/>
    <w:rsid w:val="00210F16"/>
    <w:rsid w:val="00265D20"/>
    <w:rsid w:val="0027786C"/>
    <w:rsid w:val="002C09AE"/>
    <w:rsid w:val="002E0A8B"/>
    <w:rsid w:val="00336455"/>
    <w:rsid w:val="00346D3B"/>
    <w:rsid w:val="00356A0B"/>
    <w:rsid w:val="003717E9"/>
    <w:rsid w:val="003A2E3B"/>
    <w:rsid w:val="003B5223"/>
    <w:rsid w:val="003E5813"/>
    <w:rsid w:val="00427E03"/>
    <w:rsid w:val="00431ABA"/>
    <w:rsid w:val="00452E0D"/>
    <w:rsid w:val="00472B5F"/>
    <w:rsid w:val="004871C0"/>
    <w:rsid w:val="00493737"/>
    <w:rsid w:val="00496823"/>
    <w:rsid w:val="00497A2D"/>
    <w:rsid w:val="004E5A31"/>
    <w:rsid w:val="004F2678"/>
    <w:rsid w:val="004F3A66"/>
    <w:rsid w:val="005226B4"/>
    <w:rsid w:val="0054763E"/>
    <w:rsid w:val="00560B19"/>
    <w:rsid w:val="005916CC"/>
    <w:rsid w:val="005C2979"/>
    <w:rsid w:val="005D49E9"/>
    <w:rsid w:val="005D6E5E"/>
    <w:rsid w:val="005E62B5"/>
    <w:rsid w:val="00605D32"/>
    <w:rsid w:val="0065153B"/>
    <w:rsid w:val="0065601E"/>
    <w:rsid w:val="006925C2"/>
    <w:rsid w:val="00692A22"/>
    <w:rsid w:val="006B0127"/>
    <w:rsid w:val="006B09A0"/>
    <w:rsid w:val="006B3A31"/>
    <w:rsid w:val="006C72A7"/>
    <w:rsid w:val="006E4CDB"/>
    <w:rsid w:val="006E55EE"/>
    <w:rsid w:val="006F2C24"/>
    <w:rsid w:val="0071598C"/>
    <w:rsid w:val="00726EC7"/>
    <w:rsid w:val="00727B75"/>
    <w:rsid w:val="00740560"/>
    <w:rsid w:val="007544C8"/>
    <w:rsid w:val="00761893"/>
    <w:rsid w:val="007711D6"/>
    <w:rsid w:val="00773A3A"/>
    <w:rsid w:val="00775985"/>
    <w:rsid w:val="0077786E"/>
    <w:rsid w:val="0079243D"/>
    <w:rsid w:val="007B1604"/>
    <w:rsid w:val="007F57A3"/>
    <w:rsid w:val="00801F84"/>
    <w:rsid w:val="0081404A"/>
    <w:rsid w:val="0083037A"/>
    <w:rsid w:val="00835439"/>
    <w:rsid w:val="008829AE"/>
    <w:rsid w:val="008C73E4"/>
    <w:rsid w:val="008F7750"/>
    <w:rsid w:val="00910DBA"/>
    <w:rsid w:val="0091741B"/>
    <w:rsid w:val="009221CC"/>
    <w:rsid w:val="0096376D"/>
    <w:rsid w:val="00964295"/>
    <w:rsid w:val="0097777A"/>
    <w:rsid w:val="00982C54"/>
    <w:rsid w:val="009A67CA"/>
    <w:rsid w:val="009B1127"/>
    <w:rsid w:val="009B19D2"/>
    <w:rsid w:val="009B2D1A"/>
    <w:rsid w:val="009B627A"/>
    <w:rsid w:val="009D6647"/>
    <w:rsid w:val="00A119C8"/>
    <w:rsid w:val="00A806D3"/>
    <w:rsid w:val="00AA0C95"/>
    <w:rsid w:val="00AA51AC"/>
    <w:rsid w:val="00AA64C3"/>
    <w:rsid w:val="00AD0DD6"/>
    <w:rsid w:val="00AE7981"/>
    <w:rsid w:val="00B105B4"/>
    <w:rsid w:val="00B41983"/>
    <w:rsid w:val="00B4280F"/>
    <w:rsid w:val="00B52E2E"/>
    <w:rsid w:val="00B533D3"/>
    <w:rsid w:val="00B5504F"/>
    <w:rsid w:val="00B67A27"/>
    <w:rsid w:val="00B73953"/>
    <w:rsid w:val="00B936FC"/>
    <w:rsid w:val="00BC3038"/>
    <w:rsid w:val="00BD7AD0"/>
    <w:rsid w:val="00BF4B8C"/>
    <w:rsid w:val="00C1108A"/>
    <w:rsid w:val="00C338A3"/>
    <w:rsid w:val="00C43DA5"/>
    <w:rsid w:val="00C65987"/>
    <w:rsid w:val="00C73F90"/>
    <w:rsid w:val="00C75792"/>
    <w:rsid w:val="00C76A8D"/>
    <w:rsid w:val="00C86EF9"/>
    <w:rsid w:val="00C87166"/>
    <w:rsid w:val="00C94A1C"/>
    <w:rsid w:val="00C94CCD"/>
    <w:rsid w:val="00C956B8"/>
    <w:rsid w:val="00CC591A"/>
    <w:rsid w:val="00CD1518"/>
    <w:rsid w:val="00CD48EB"/>
    <w:rsid w:val="00D12A67"/>
    <w:rsid w:val="00D5569C"/>
    <w:rsid w:val="00D607F3"/>
    <w:rsid w:val="00D81EC0"/>
    <w:rsid w:val="00D85024"/>
    <w:rsid w:val="00D90935"/>
    <w:rsid w:val="00D95E54"/>
    <w:rsid w:val="00DC089F"/>
    <w:rsid w:val="00DC5DD5"/>
    <w:rsid w:val="00DE2D0A"/>
    <w:rsid w:val="00E04F86"/>
    <w:rsid w:val="00E25C47"/>
    <w:rsid w:val="00E379BC"/>
    <w:rsid w:val="00E50A5C"/>
    <w:rsid w:val="00E515F4"/>
    <w:rsid w:val="00E65E5A"/>
    <w:rsid w:val="00E9519F"/>
    <w:rsid w:val="00ED401B"/>
    <w:rsid w:val="00EE6692"/>
    <w:rsid w:val="00EF0B0D"/>
    <w:rsid w:val="00EF6F28"/>
    <w:rsid w:val="00F04C98"/>
    <w:rsid w:val="00F229E8"/>
    <w:rsid w:val="00F61BFB"/>
    <w:rsid w:val="00F66360"/>
    <w:rsid w:val="00F942A2"/>
    <w:rsid w:val="00FA26FD"/>
    <w:rsid w:val="00FB731F"/>
    <w:rsid w:val="00FF0E43"/>
    <w:rsid w:val="00FF60B3"/>
    <w:rsid w:val="1C3948E2"/>
    <w:rsid w:val="37B52474"/>
    <w:rsid w:val="46E10058"/>
    <w:rsid w:val="51B25198"/>
    <w:rsid w:val="59271254"/>
    <w:rsid w:val="6B0625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9"/>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20"/>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21"/>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2"/>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3"/>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4"/>
    <w:semiHidden/>
    <w:unhideWhenUsed/>
    <w:qFormat/>
    <w:uiPriority w:val="9"/>
    <w:pPr>
      <w:keepNext/>
      <w:keepLines/>
      <w:spacing w:before="40" w:after="0"/>
      <w:outlineLvl w:val="5"/>
    </w:pPr>
    <w:rPr>
      <w:rFonts w:cstheme="majorBidi"/>
      <w:b/>
      <w:bCs/>
      <w:color w:val="2F5597" w:themeColor="accent1" w:themeShade="BF"/>
    </w:rPr>
  </w:style>
  <w:style w:type="paragraph" w:styleId="8">
    <w:name w:val="heading 7"/>
    <w:basedOn w:val="1"/>
    <w:next w:val="1"/>
    <w:link w:val="25"/>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6"/>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7"/>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7"/>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9"/>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8"/>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16">
    <w:name w:val="Table Grid"/>
    <w:basedOn w:val="15"/>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basedOn w:val="17"/>
    <w:unhideWhenUsed/>
    <w:qFormat/>
    <w:uiPriority w:val="99"/>
    <w:rPr>
      <w:color w:val="0563C1" w:themeColor="hyperlink"/>
      <w:u w:val="single"/>
      <w14:textFill>
        <w14:solidFill>
          <w14:schemeClr w14:val="hlink"/>
        </w14:solidFill>
      </w14:textFill>
    </w:rPr>
  </w:style>
  <w:style w:type="character" w:customStyle="1" w:styleId="19">
    <w:name w:val="标题 1 字符"/>
    <w:basedOn w:val="17"/>
    <w:link w:val="2"/>
    <w:qFormat/>
    <w:uiPriority w:val="9"/>
    <w:rPr>
      <w:rFonts w:asciiTheme="majorHAnsi" w:hAnsiTheme="majorHAnsi" w:eastAsiaTheme="majorEastAsia" w:cstheme="majorBidi"/>
      <w:color w:val="2F5597" w:themeColor="accent1" w:themeShade="BF"/>
      <w:sz w:val="48"/>
      <w:szCs w:val="48"/>
    </w:rPr>
  </w:style>
  <w:style w:type="character" w:customStyle="1" w:styleId="20">
    <w:name w:val="标题 2 字符"/>
    <w:basedOn w:val="17"/>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21">
    <w:name w:val="标题 3 字符"/>
    <w:basedOn w:val="17"/>
    <w:link w:val="4"/>
    <w:semiHidden/>
    <w:qFormat/>
    <w:uiPriority w:val="9"/>
    <w:rPr>
      <w:rFonts w:asciiTheme="majorHAnsi" w:hAnsiTheme="majorHAnsi" w:eastAsiaTheme="majorEastAsia" w:cstheme="majorBidi"/>
      <w:color w:val="2F5597" w:themeColor="accent1" w:themeShade="BF"/>
      <w:sz w:val="32"/>
      <w:szCs w:val="32"/>
    </w:rPr>
  </w:style>
  <w:style w:type="character" w:customStyle="1" w:styleId="22">
    <w:name w:val="标题 4 字符"/>
    <w:basedOn w:val="17"/>
    <w:link w:val="5"/>
    <w:semiHidden/>
    <w:qFormat/>
    <w:uiPriority w:val="9"/>
    <w:rPr>
      <w:rFonts w:cstheme="majorBidi"/>
      <w:color w:val="2F5597" w:themeColor="accent1" w:themeShade="BF"/>
      <w:sz w:val="28"/>
      <w:szCs w:val="28"/>
    </w:rPr>
  </w:style>
  <w:style w:type="character" w:customStyle="1" w:styleId="23">
    <w:name w:val="标题 5 字符"/>
    <w:basedOn w:val="17"/>
    <w:link w:val="6"/>
    <w:semiHidden/>
    <w:qFormat/>
    <w:uiPriority w:val="9"/>
    <w:rPr>
      <w:rFonts w:cstheme="majorBidi"/>
      <w:color w:val="2F5597" w:themeColor="accent1" w:themeShade="BF"/>
      <w:sz w:val="24"/>
    </w:rPr>
  </w:style>
  <w:style w:type="character" w:customStyle="1" w:styleId="24">
    <w:name w:val="标题 6 字符"/>
    <w:basedOn w:val="17"/>
    <w:link w:val="7"/>
    <w:semiHidden/>
    <w:qFormat/>
    <w:uiPriority w:val="9"/>
    <w:rPr>
      <w:rFonts w:cstheme="majorBidi"/>
      <w:b/>
      <w:bCs/>
      <w:color w:val="2F5597" w:themeColor="accent1" w:themeShade="BF"/>
    </w:rPr>
  </w:style>
  <w:style w:type="character" w:customStyle="1" w:styleId="25">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6">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7">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8">
    <w:name w:val="标题 字符"/>
    <w:basedOn w:val="17"/>
    <w:link w:val="14"/>
    <w:qFormat/>
    <w:uiPriority w:val="10"/>
    <w:rPr>
      <w:rFonts w:asciiTheme="majorHAnsi" w:hAnsiTheme="majorHAnsi" w:eastAsiaTheme="majorEastAsia" w:cstheme="majorBidi"/>
      <w:spacing w:val="-10"/>
      <w:kern w:val="28"/>
      <w:sz w:val="56"/>
      <w:szCs w:val="56"/>
    </w:rPr>
  </w:style>
  <w:style w:type="character" w:customStyle="1" w:styleId="29">
    <w:name w:val="副标题 字符"/>
    <w:basedOn w:val="17"/>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0">
    <w:name w:val="Quote"/>
    <w:basedOn w:val="1"/>
    <w:next w:val="1"/>
    <w:link w:val="31"/>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1">
    <w:name w:val="引用 字符"/>
    <w:basedOn w:val="17"/>
    <w:link w:val="30"/>
    <w:qFormat/>
    <w:uiPriority w:val="29"/>
    <w:rPr>
      <w:i/>
      <w:iCs/>
      <w:color w:val="404040" w:themeColor="text1" w:themeTint="BF"/>
      <w14:textFill>
        <w14:solidFill>
          <w14:schemeClr w14:val="tx1">
            <w14:lumMod w14:val="75000"/>
            <w14:lumOff w14:val="25000"/>
          </w14:schemeClr>
        </w14:solidFill>
      </w14:textFill>
    </w:rPr>
  </w:style>
  <w:style w:type="paragraph" w:styleId="32">
    <w:name w:val="List Paragraph"/>
    <w:basedOn w:val="1"/>
    <w:qFormat/>
    <w:uiPriority w:val="34"/>
    <w:pPr>
      <w:ind w:left="720"/>
      <w:contextualSpacing/>
    </w:pPr>
  </w:style>
  <w:style w:type="character" w:customStyle="1" w:styleId="33">
    <w:name w:val="Intense Emphasis"/>
    <w:basedOn w:val="17"/>
    <w:qFormat/>
    <w:uiPriority w:val="21"/>
    <w:rPr>
      <w:i/>
      <w:iCs/>
      <w:color w:val="2F5597" w:themeColor="accent1" w:themeShade="BF"/>
    </w:rPr>
  </w:style>
  <w:style w:type="paragraph" w:styleId="34">
    <w:name w:val="Intense Quote"/>
    <w:basedOn w:val="1"/>
    <w:next w:val="1"/>
    <w:link w:val="35"/>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5">
    <w:name w:val="明显引用 字符"/>
    <w:basedOn w:val="17"/>
    <w:link w:val="34"/>
    <w:qFormat/>
    <w:uiPriority w:val="30"/>
    <w:rPr>
      <w:i/>
      <w:iCs/>
      <w:color w:val="2F5597" w:themeColor="accent1" w:themeShade="BF"/>
    </w:rPr>
  </w:style>
  <w:style w:type="character" w:customStyle="1" w:styleId="36">
    <w:name w:val="Intense Reference"/>
    <w:basedOn w:val="17"/>
    <w:qFormat/>
    <w:uiPriority w:val="32"/>
    <w:rPr>
      <w:b/>
      <w:bCs/>
      <w:smallCaps/>
      <w:color w:val="2F5597" w:themeColor="accent1" w:themeShade="BF"/>
      <w:spacing w:val="5"/>
    </w:rPr>
  </w:style>
  <w:style w:type="character" w:customStyle="1" w:styleId="37">
    <w:name w:val="页眉 字符"/>
    <w:basedOn w:val="17"/>
    <w:link w:val="12"/>
    <w:qFormat/>
    <w:uiPriority w:val="99"/>
    <w:rPr>
      <w:sz w:val="18"/>
      <w:szCs w:val="18"/>
    </w:rPr>
  </w:style>
  <w:style w:type="character" w:customStyle="1" w:styleId="38">
    <w:name w:val="页脚 字符"/>
    <w:basedOn w:val="17"/>
    <w:link w:val="11"/>
    <w:qFormat/>
    <w:uiPriority w:val="99"/>
    <w:rPr>
      <w:sz w:val="18"/>
      <w:szCs w:val="18"/>
    </w:rPr>
  </w:style>
  <w:style w:type="character" w:customStyle="1" w:styleId="39">
    <w:name w:val="font41"/>
    <w:qFormat/>
    <w:uiPriority w:val="0"/>
    <w:rPr>
      <w:rFonts w:hint="eastAsia" w:ascii="宋体" w:hAnsi="宋体" w:eastAsia="宋体" w:cs="宋体"/>
      <w:b/>
      <w:bCs/>
      <w:color w:val="000000"/>
      <w:sz w:val="22"/>
      <w:szCs w:val="22"/>
      <w:u w:val="none"/>
    </w:rPr>
  </w:style>
  <w:style w:type="character" w:customStyle="1" w:styleId="40">
    <w:name w:val="font21"/>
    <w:qFormat/>
    <w:uiPriority w:val="0"/>
    <w:rPr>
      <w:rFonts w:hint="default" w:ascii="Times New Roman" w:hAnsi="Times New Roman" w:cs="Times New Roman"/>
      <w:color w:val="000000"/>
      <w:sz w:val="22"/>
      <w:szCs w:val="22"/>
      <w:u w:val="none"/>
    </w:rPr>
  </w:style>
  <w:style w:type="character" w:customStyle="1" w:styleId="41">
    <w:name w:val="font71"/>
    <w:qFormat/>
    <w:uiPriority w:val="0"/>
    <w:rPr>
      <w:rFonts w:hint="eastAsia" w:ascii="宋体" w:hAnsi="宋体" w:eastAsia="宋体" w:cs="宋体"/>
      <w:b/>
      <w:bCs/>
      <w:color w:val="000000"/>
      <w:sz w:val="22"/>
      <w:szCs w:val="22"/>
      <w:u w:val="none"/>
    </w:rPr>
  </w:style>
  <w:style w:type="character" w:customStyle="1" w:styleId="42">
    <w:name w:val="font81"/>
    <w:qFormat/>
    <w:uiPriority w:val="0"/>
    <w:rPr>
      <w:rFonts w:hint="eastAsia" w:ascii="宋体" w:hAnsi="宋体" w:eastAsia="宋体" w:cs="宋体"/>
      <w:color w:val="000000"/>
      <w:sz w:val="22"/>
      <w:szCs w:val="22"/>
      <w:u w:val="none"/>
    </w:rPr>
  </w:style>
  <w:style w:type="character" w:customStyle="1" w:styleId="43">
    <w:name w:val="font91"/>
    <w:qFormat/>
    <w:uiPriority w:val="0"/>
    <w:rPr>
      <w:rFonts w:hint="eastAsia" w:ascii="宋体" w:hAnsi="宋体" w:eastAsia="宋体" w:cs="宋体"/>
      <w:color w:val="000000"/>
      <w:sz w:val="24"/>
      <w:szCs w:val="24"/>
      <w:u w:val="none"/>
    </w:rPr>
  </w:style>
  <w:style w:type="character" w:customStyle="1" w:styleId="44">
    <w:name w:val="font51"/>
    <w:qFormat/>
    <w:uiPriority w:val="0"/>
    <w:rPr>
      <w:rFonts w:hint="eastAsia" w:ascii="宋体" w:hAnsi="宋体" w:eastAsia="宋体" w:cs="宋体"/>
      <w:b/>
      <w:bCs/>
      <w:color w:val="000000"/>
      <w:sz w:val="22"/>
      <w:szCs w:val="22"/>
      <w:u w:val="none"/>
    </w:rPr>
  </w:style>
  <w:style w:type="character" w:customStyle="1" w:styleId="45">
    <w:name w:val="Unresolved Mention"/>
    <w:basedOn w:val="1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BF8B0-CD5C-473F-9BDE-05E6D99867FC}">
  <ds:schemaRefs/>
</ds:datastoreItem>
</file>

<file path=docProps/app.xml><?xml version="1.0" encoding="utf-8"?>
<Properties xmlns="http://schemas.openxmlformats.org/officeDocument/2006/extended-properties" xmlns:vt="http://schemas.openxmlformats.org/officeDocument/2006/docPropsVTypes">
  <Template>Normal.dotm</Template>
  <Pages>13</Pages>
  <Words>7151</Words>
  <Characters>7886</Characters>
  <Lines>61</Lines>
  <Paragraphs>17</Paragraphs>
  <TotalTime>7</TotalTime>
  <ScaleCrop>false</ScaleCrop>
  <LinksUpToDate>false</LinksUpToDate>
  <CharactersWithSpaces>8049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2025-10-17T06:18:00Z</dcterms:created>
  <dc:creator>李治国</dc:creator>
  <cp:lastModifiedBy>LaCWant灰</cp:lastModifiedBy>
  <dcterms:modified xsi:type="dcterms:W3CDTF">2025-10-17T07:53:51Z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eyJoZGlkIjoiYzM4NjJmZWNmMTA5NzYwNDk1MTAzMzBkMjJhZmYwNzgiLCJ1c2VySWQiOiI3OTQxNDQ2In0=</vt:lpwstr>
  </property>
  <property fmtid="{D5CDD505-2E9C-101B-9397-08002B2CF9AE}" pid="3" name="KSOProductBuildVer">
    <vt:lpwstr>2052-12.1.0.22529</vt:lpwstr>
  </property>
  <property fmtid="{D5CDD505-2E9C-101B-9397-08002B2CF9AE}" pid="4" name="ICV">
    <vt:lpwstr>8A667A30E41E49C78FB2AE7F191B6B08_13</vt:lpwstr>
  </property>
</Properties>
</file>